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ED" w:rsidRPr="00673E8C" w:rsidRDefault="00A134ED" w:rsidP="006D4187">
      <w:pPr>
        <w:spacing w:after="0" w:line="264" w:lineRule="auto"/>
        <w:jc w:val="center"/>
        <w:rPr>
          <w:rFonts w:ascii="Arial" w:hAnsi="Arial" w:cs="Arial"/>
          <w:b/>
          <w:sz w:val="24"/>
        </w:rPr>
      </w:pPr>
      <w:bookmarkStart w:id="0" w:name="_GoBack"/>
      <w:bookmarkEnd w:id="0"/>
      <w:r w:rsidRPr="00673E8C">
        <w:rPr>
          <w:rFonts w:ascii="Arial" w:hAnsi="Arial" w:cs="Arial"/>
          <w:b/>
          <w:sz w:val="24"/>
        </w:rPr>
        <w:t xml:space="preserve">INFORME DE PONENCIA PARA </w:t>
      </w:r>
      <w:r w:rsidR="00547E5D">
        <w:rPr>
          <w:rFonts w:ascii="Arial" w:hAnsi="Arial" w:cs="Arial"/>
          <w:b/>
          <w:sz w:val="24"/>
        </w:rPr>
        <w:t xml:space="preserve">SEGUNDO </w:t>
      </w:r>
      <w:r w:rsidRPr="00673E8C">
        <w:rPr>
          <w:rFonts w:ascii="Arial" w:hAnsi="Arial" w:cs="Arial"/>
          <w:b/>
          <w:sz w:val="24"/>
        </w:rPr>
        <w:t>DEBATE DEL PROYECTO DE LEY No.</w:t>
      </w:r>
      <w:r w:rsidR="00FE24AA" w:rsidRPr="00673E8C">
        <w:rPr>
          <w:rFonts w:ascii="Arial" w:hAnsi="Arial" w:cs="Arial"/>
          <w:b/>
          <w:sz w:val="24"/>
        </w:rPr>
        <w:t xml:space="preserve"> </w:t>
      </w:r>
      <w:r w:rsidRPr="00673E8C">
        <w:rPr>
          <w:rFonts w:ascii="Arial" w:hAnsi="Arial" w:cs="Arial"/>
          <w:b/>
          <w:sz w:val="24"/>
        </w:rPr>
        <w:t xml:space="preserve">145 DE 2019 CÁMARA “POR MEDIO DEL CUAL SE </w:t>
      </w:r>
      <w:r w:rsidR="00673E8C" w:rsidRPr="00673E8C">
        <w:rPr>
          <w:rFonts w:ascii="Arial" w:hAnsi="Arial" w:cs="Arial"/>
          <w:b/>
          <w:sz w:val="24"/>
        </w:rPr>
        <w:t xml:space="preserve">ADICIONA UN </w:t>
      </w:r>
      <w:r w:rsidRPr="00673E8C">
        <w:rPr>
          <w:rFonts w:ascii="Arial" w:hAnsi="Arial" w:cs="Arial"/>
          <w:b/>
          <w:sz w:val="24"/>
        </w:rPr>
        <w:t xml:space="preserve">NUMERAL AL ARTÍCULO </w:t>
      </w:r>
      <w:r w:rsidR="008834C7">
        <w:rPr>
          <w:rFonts w:ascii="Arial" w:hAnsi="Arial" w:cs="Arial"/>
          <w:b/>
          <w:sz w:val="24"/>
        </w:rPr>
        <w:t>57</w:t>
      </w:r>
      <w:r w:rsidRPr="00673E8C">
        <w:rPr>
          <w:rFonts w:ascii="Arial" w:hAnsi="Arial" w:cs="Arial"/>
          <w:b/>
          <w:sz w:val="24"/>
        </w:rPr>
        <w:t xml:space="preserve"> DE LA LEY 1952 DE 2019 (CÓDIGO GENERAL DISCIPLINARIO)”.</w:t>
      </w:r>
    </w:p>
    <w:p w:rsidR="00A134ED" w:rsidRDefault="00A134ED" w:rsidP="006D4187">
      <w:pPr>
        <w:pStyle w:val="Prrafodelista"/>
        <w:spacing w:after="0" w:line="264" w:lineRule="auto"/>
        <w:ind w:left="1080"/>
        <w:jc w:val="center"/>
        <w:rPr>
          <w:b/>
        </w:rPr>
      </w:pPr>
    </w:p>
    <w:p w:rsidR="00A134ED" w:rsidRDefault="00A134ED" w:rsidP="006D4187">
      <w:pPr>
        <w:shd w:val="clear" w:color="auto" w:fill="FFFFFF"/>
        <w:spacing w:after="0" w:line="264" w:lineRule="auto"/>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Bogotá D.C., </w:t>
      </w:r>
      <w:r w:rsidR="003729AC">
        <w:rPr>
          <w:rFonts w:ascii="Arial" w:eastAsia="Times New Roman" w:hAnsi="Arial" w:cs="Arial"/>
          <w:bCs/>
          <w:sz w:val="24"/>
          <w:szCs w:val="24"/>
          <w:lang w:eastAsia="es-CO"/>
        </w:rPr>
        <w:t>agosto</w:t>
      </w:r>
      <w:r w:rsidRPr="0079580B">
        <w:rPr>
          <w:rFonts w:ascii="Arial" w:eastAsia="Times New Roman" w:hAnsi="Arial" w:cs="Arial"/>
          <w:bCs/>
          <w:sz w:val="24"/>
          <w:szCs w:val="24"/>
          <w:lang w:eastAsia="es-CO"/>
        </w:rPr>
        <w:t xml:space="preserve"> de 20</w:t>
      </w:r>
      <w:r w:rsidR="00F360C3">
        <w:rPr>
          <w:rFonts w:ascii="Arial" w:eastAsia="Times New Roman" w:hAnsi="Arial" w:cs="Arial"/>
          <w:bCs/>
          <w:sz w:val="24"/>
          <w:szCs w:val="24"/>
          <w:lang w:eastAsia="es-CO"/>
        </w:rPr>
        <w:t>20</w:t>
      </w:r>
    </w:p>
    <w:p w:rsidR="0032557A" w:rsidRDefault="0032557A" w:rsidP="006D4187">
      <w:pPr>
        <w:shd w:val="clear" w:color="auto" w:fill="FFFFFF"/>
        <w:spacing w:after="0" w:line="264" w:lineRule="auto"/>
        <w:jc w:val="both"/>
        <w:rPr>
          <w:rFonts w:ascii="Arial" w:eastAsia="Times New Roman" w:hAnsi="Arial" w:cs="Arial"/>
          <w:bCs/>
          <w:sz w:val="24"/>
          <w:szCs w:val="24"/>
          <w:lang w:eastAsia="es-CO"/>
        </w:rPr>
      </w:pPr>
    </w:p>
    <w:p w:rsidR="00A134ED" w:rsidRPr="0079580B" w:rsidRDefault="00A134ED" w:rsidP="006D4187">
      <w:pPr>
        <w:shd w:val="clear" w:color="auto" w:fill="FFFFFF"/>
        <w:spacing w:after="0" w:line="264" w:lineRule="auto"/>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Honorable Representante</w:t>
      </w:r>
    </w:p>
    <w:p w:rsidR="00A134ED" w:rsidRPr="00251C43" w:rsidRDefault="00C25C96" w:rsidP="00C25C96">
      <w:pPr>
        <w:shd w:val="clear" w:color="auto" w:fill="FFFFFF"/>
        <w:spacing w:after="0" w:line="264" w:lineRule="auto"/>
        <w:rPr>
          <w:rFonts w:ascii="Arial" w:eastAsia="Times New Roman" w:hAnsi="Arial" w:cs="Arial"/>
          <w:b/>
          <w:bCs/>
          <w:sz w:val="24"/>
          <w:szCs w:val="24"/>
          <w:lang w:eastAsia="es-CO"/>
        </w:rPr>
      </w:pPr>
      <w:r w:rsidRPr="00C25C96">
        <w:rPr>
          <w:rFonts w:ascii="Arial" w:eastAsia="Times New Roman" w:hAnsi="Arial" w:cs="Arial"/>
          <w:b/>
          <w:bCs/>
          <w:sz w:val="24"/>
          <w:szCs w:val="24"/>
          <w:lang w:eastAsia="es-CO"/>
        </w:rPr>
        <w:t>ALFREDO RAFAEL DELUQUE ZULETA</w:t>
      </w:r>
      <w:r w:rsidR="00A134ED">
        <w:rPr>
          <w:rFonts w:ascii="Arial" w:eastAsia="Times New Roman" w:hAnsi="Arial" w:cs="Arial"/>
          <w:b/>
          <w:bCs/>
          <w:sz w:val="24"/>
          <w:szCs w:val="24"/>
          <w:lang w:eastAsia="es-CO"/>
        </w:rPr>
        <w:br/>
      </w:r>
      <w:r w:rsidR="00A134ED" w:rsidRPr="0079580B">
        <w:rPr>
          <w:rFonts w:ascii="Arial" w:eastAsia="Times New Roman" w:hAnsi="Arial" w:cs="Arial"/>
          <w:bCs/>
          <w:sz w:val="24"/>
          <w:szCs w:val="24"/>
          <w:lang w:eastAsia="es-CO"/>
        </w:rPr>
        <w:t>Presidente</w:t>
      </w:r>
      <w:r w:rsidR="00A134ED">
        <w:rPr>
          <w:rFonts w:ascii="Arial" w:eastAsia="Times New Roman" w:hAnsi="Arial" w:cs="Arial"/>
          <w:b/>
          <w:bCs/>
          <w:sz w:val="24"/>
          <w:szCs w:val="24"/>
          <w:lang w:eastAsia="es-CO"/>
        </w:rPr>
        <w:br/>
      </w:r>
      <w:r w:rsidR="00A134ED">
        <w:rPr>
          <w:rFonts w:ascii="Arial" w:eastAsia="Times New Roman" w:hAnsi="Arial" w:cs="Arial"/>
          <w:bCs/>
          <w:sz w:val="24"/>
          <w:szCs w:val="24"/>
          <w:lang w:eastAsia="es-CO"/>
        </w:rPr>
        <w:t>Comisión P</w:t>
      </w:r>
      <w:r w:rsidR="00A134ED" w:rsidRPr="00251C43">
        <w:rPr>
          <w:rFonts w:ascii="Arial" w:eastAsia="Times New Roman" w:hAnsi="Arial" w:cs="Arial"/>
          <w:bCs/>
          <w:sz w:val="24"/>
          <w:szCs w:val="24"/>
          <w:lang w:eastAsia="es-CO"/>
        </w:rPr>
        <w:t>rimera</w:t>
      </w:r>
      <w:r w:rsidR="00A134ED">
        <w:rPr>
          <w:rFonts w:ascii="Arial" w:eastAsia="Times New Roman" w:hAnsi="Arial" w:cs="Arial"/>
          <w:b/>
          <w:bCs/>
          <w:sz w:val="24"/>
          <w:szCs w:val="24"/>
          <w:lang w:eastAsia="es-CO"/>
        </w:rPr>
        <w:br/>
      </w:r>
      <w:r w:rsidR="00A134ED" w:rsidRPr="00251C43">
        <w:rPr>
          <w:rFonts w:ascii="Arial" w:eastAsia="Times New Roman" w:hAnsi="Arial" w:cs="Arial"/>
          <w:bCs/>
          <w:sz w:val="24"/>
          <w:szCs w:val="24"/>
          <w:lang w:eastAsia="es-CO"/>
        </w:rPr>
        <w:t xml:space="preserve">Cámara de </w:t>
      </w:r>
      <w:r w:rsidRPr="00251C43">
        <w:rPr>
          <w:rFonts w:ascii="Arial" w:eastAsia="Times New Roman" w:hAnsi="Arial" w:cs="Arial"/>
          <w:bCs/>
          <w:sz w:val="24"/>
          <w:szCs w:val="24"/>
          <w:lang w:eastAsia="es-CO"/>
        </w:rPr>
        <w:t>Representantes</w:t>
      </w:r>
    </w:p>
    <w:p w:rsidR="00A134ED" w:rsidRDefault="00A134ED" w:rsidP="006D4187">
      <w:pPr>
        <w:shd w:val="clear" w:color="auto" w:fill="FFFFFF"/>
        <w:spacing w:after="0" w:line="264" w:lineRule="auto"/>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Ciudad.</w:t>
      </w:r>
    </w:p>
    <w:p w:rsidR="00FE24AA" w:rsidRDefault="00FE24AA" w:rsidP="006D4187">
      <w:pPr>
        <w:shd w:val="clear" w:color="auto" w:fill="FFFFFF"/>
        <w:spacing w:after="0" w:line="264" w:lineRule="auto"/>
        <w:jc w:val="both"/>
        <w:rPr>
          <w:rFonts w:ascii="Arial" w:eastAsia="Times New Roman" w:hAnsi="Arial" w:cs="Arial"/>
          <w:bCs/>
          <w:sz w:val="24"/>
          <w:szCs w:val="24"/>
          <w:lang w:eastAsia="es-CO"/>
        </w:rPr>
      </w:pPr>
    </w:p>
    <w:p w:rsidR="00FE24AA" w:rsidRDefault="00FE24AA" w:rsidP="009B04B4">
      <w:pPr>
        <w:shd w:val="clear" w:color="auto" w:fill="FFFFFF"/>
        <w:spacing w:after="0" w:line="264" w:lineRule="auto"/>
        <w:jc w:val="both"/>
        <w:rPr>
          <w:rFonts w:ascii="Arial" w:eastAsia="Times New Roman" w:hAnsi="Arial" w:cs="Arial"/>
          <w:bCs/>
          <w:sz w:val="24"/>
          <w:szCs w:val="24"/>
          <w:lang w:eastAsia="es-CO"/>
        </w:rPr>
      </w:pPr>
      <w:r w:rsidRPr="00FE24AA">
        <w:rPr>
          <w:rFonts w:ascii="Arial" w:eastAsia="Times New Roman" w:hAnsi="Arial" w:cs="Arial"/>
          <w:b/>
          <w:bCs/>
          <w:sz w:val="24"/>
          <w:szCs w:val="24"/>
          <w:lang w:eastAsia="es-CO"/>
        </w:rPr>
        <w:t>Referencia:</w:t>
      </w:r>
      <w:r w:rsidRPr="00FE24AA">
        <w:rPr>
          <w:rFonts w:ascii="Arial" w:eastAsia="Times New Roman" w:hAnsi="Arial" w:cs="Arial"/>
          <w:bCs/>
          <w:sz w:val="24"/>
          <w:szCs w:val="24"/>
          <w:lang w:eastAsia="es-CO"/>
        </w:rPr>
        <w:tab/>
        <w:t xml:space="preserve">Informe de ponencia para </w:t>
      </w:r>
      <w:r w:rsidR="00547E5D">
        <w:rPr>
          <w:rFonts w:ascii="Arial" w:eastAsia="Times New Roman" w:hAnsi="Arial" w:cs="Arial"/>
          <w:bCs/>
          <w:sz w:val="24"/>
          <w:szCs w:val="24"/>
          <w:lang w:eastAsia="es-CO"/>
        </w:rPr>
        <w:t>segundo</w:t>
      </w:r>
      <w:r w:rsidR="008D426B">
        <w:rPr>
          <w:rFonts w:ascii="Arial" w:eastAsia="Times New Roman" w:hAnsi="Arial" w:cs="Arial"/>
          <w:bCs/>
          <w:sz w:val="24"/>
          <w:szCs w:val="24"/>
          <w:lang w:eastAsia="es-CO"/>
        </w:rPr>
        <w:t xml:space="preserve"> debate</w:t>
      </w:r>
      <w:r w:rsidRPr="00FE24AA">
        <w:rPr>
          <w:rFonts w:ascii="Arial" w:eastAsia="Times New Roman" w:hAnsi="Arial" w:cs="Arial"/>
          <w:bCs/>
          <w:sz w:val="24"/>
          <w:szCs w:val="24"/>
          <w:lang w:eastAsia="es-CO"/>
        </w:rPr>
        <w:t xml:space="preserve"> de</w:t>
      </w:r>
      <w:r>
        <w:rPr>
          <w:rFonts w:ascii="Arial" w:eastAsia="Times New Roman" w:hAnsi="Arial" w:cs="Arial"/>
          <w:bCs/>
          <w:sz w:val="24"/>
          <w:szCs w:val="24"/>
          <w:lang w:eastAsia="es-CO"/>
        </w:rPr>
        <w:t xml:space="preserve">l </w:t>
      </w:r>
      <w:r w:rsidR="008D426B">
        <w:rPr>
          <w:rFonts w:ascii="Arial" w:eastAsia="Times New Roman" w:hAnsi="Arial" w:cs="Arial"/>
          <w:bCs/>
          <w:sz w:val="24"/>
          <w:szCs w:val="24"/>
          <w:lang w:eastAsia="es-CO"/>
        </w:rPr>
        <w:t xml:space="preserve">Proyecto </w:t>
      </w:r>
      <w:r>
        <w:rPr>
          <w:rFonts w:ascii="Arial" w:eastAsia="Times New Roman" w:hAnsi="Arial" w:cs="Arial"/>
          <w:bCs/>
          <w:sz w:val="24"/>
          <w:szCs w:val="24"/>
          <w:lang w:eastAsia="es-CO"/>
        </w:rPr>
        <w:t xml:space="preserve">de </w:t>
      </w:r>
      <w:r w:rsidR="008D426B">
        <w:rPr>
          <w:rFonts w:ascii="Arial" w:eastAsia="Times New Roman" w:hAnsi="Arial" w:cs="Arial"/>
          <w:bCs/>
          <w:sz w:val="24"/>
          <w:szCs w:val="24"/>
          <w:lang w:eastAsia="es-CO"/>
        </w:rPr>
        <w:t xml:space="preserve">Ley </w:t>
      </w:r>
      <w:r>
        <w:rPr>
          <w:rFonts w:ascii="Arial" w:eastAsia="Times New Roman" w:hAnsi="Arial" w:cs="Arial"/>
          <w:bCs/>
          <w:sz w:val="24"/>
          <w:szCs w:val="24"/>
          <w:lang w:eastAsia="es-CO"/>
        </w:rPr>
        <w:t>No. 145 de 2019 cámara “por medio del</w:t>
      </w:r>
      <w:r w:rsidRPr="00FE24AA">
        <w:rPr>
          <w:rFonts w:ascii="Arial" w:eastAsia="Times New Roman" w:hAnsi="Arial" w:cs="Arial"/>
          <w:bCs/>
          <w:sz w:val="24"/>
          <w:szCs w:val="24"/>
          <w:lang w:eastAsia="es-CO"/>
        </w:rPr>
        <w:t xml:space="preserve"> cual se por medio del cual se </w:t>
      </w:r>
      <w:r>
        <w:rPr>
          <w:rFonts w:ascii="Arial" w:eastAsia="Times New Roman" w:hAnsi="Arial" w:cs="Arial"/>
          <w:bCs/>
          <w:sz w:val="24"/>
          <w:szCs w:val="24"/>
          <w:lang w:eastAsia="es-CO"/>
        </w:rPr>
        <w:t>a</w:t>
      </w:r>
      <w:r w:rsidRPr="00FE24AA">
        <w:rPr>
          <w:rFonts w:ascii="Arial" w:eastAsia="Times New Roman" w:hAnsi="Arial" w:cs="Arial"/>
          <w:bCs/>
          <w:sz w:val="24"/>
          <w:szCs w:val="24"/>
          <w:lang w:eastAsia="es-CO"/>
        </w:rPr>
        <w:t>d</w:t>
      </w:r>
      <w:r w:rsidR="008834C7">
        <w:rPr>
          <w:rFonts w:ascii="Arial" w:eastAsia="Times New Roman" w:hAnsi="Arial" w:cs="Arial"/>
          <w:bCs/>
          <w:sz w:val="24"/>
          <w:szCs w:val="24"/>
          <w:lang w:eastAsia="es-CO"/>
        </w:rPr>
        <w:t>iciona un numeral al artículo 57</w:t>
      </w:r>
      <w:r w:rsidRPr="00FE24AA">
        <w:rPr>
          <w:rFonts w:ascii="Arial" w:eastAsia="Times New Roman" w:hAnsi="Arial" w:cs="Arial"/>
          <w:bCs/>
          <w:sz w:val="24"/>
          <w:szCs w:val="24"/>
          <w:lang w:eastAsia="es-CO"/>
        </w:rPr>
        <w:t xml:space="preserve"> de la ley 1952 de 2019 </w:t>
      </w:r>
      <w:r w:rsidR="00F360C3">
        <w:rPr>
          <w:rFonts w:ascii="Arial" w:eastAsia="Times New Roman" w:hAnsi="Arial" w:cs="Arial"/>
          <w:bCs/>
          <w:sz w:val="24"/>
          <w:szCs w:val="24"/>
          <w:lang w:eastAsia="es-CO"/>
        </w:rPr>
        <w:t>(</w:t>
      </w:r>
      <w:r w:rsidR="008F29AF">
        <w:rPr>
          <w:rFonts w:ascii="Arial" w:eastAsia="Times New Roman" w:hAnsi="Arial" w:cs="Arial"/>
          <w:bCs/>
          <w:sz w:val="24"/>
          <w:szCs w:val="24"/>
          <w:lang w:eastAsia="es-CO"/>
        </w:rPr>
        <w:t>Código General Disciplinario</w:t>
      </w:r>
      <w:r w:rsidR="00F360C3">
        <w:rPr>
          <w:rFonts w:ascii="Arial" w:eastAsia="Times New Roman" w:hAnsi="Arial" w:cs="Arial"/>
          <w:bCs/>
          <w:sz w:val="24"/>
          <w:szCs w:val="24"/>
          <w:lang w:eastAsia="es-CO"/>
        </w:rPr>
        <w:t>)”.</w:t>
      </w:r>
    </w:p>
    <w:p w:rsidR="00FE24AA" w:rsidRPr="00FE24AA" w:rsidRDefault="00FE24AA" w:rsidP="006D4187">
      <w:pPr>
        <w:shd w:val="clear" w:color="auto" w:fill="FFFFFF"/>
        <w:spacing w:after="0" w:line="264" w:lineRule="auto"/>
        <w:jc w:val="both"/>
        <w:rPr>
          <w:rFonts w:ascii="Arial" w:eastAsia="Times New Roman" w:hAnsi="Arial" w:cs="Arial"/>
          <w:bCs/>
          <w:sz w:val="24"/>
          <w:szCs w:val="24"/>
          <w:lang w:eastAsia="es-CO"/>
        </w:rPr>
      </w:pPr>
    </w:p>
    <w:p w:rsidR="00FE24AA" w:rsidRPr="00FE24AA" w:rsidRDefault="00FE24AA" w:rsidP="006D4187">
      <w:pPr>
        <w:shd w:val="clear" w:color="auto" w:fill="FFFFFF"/>
        <w:spacing w:after="0" w:line="264" w:lineRule="auto"/>
        <w:jc w:val="both"/>
        <w:rPr>
          <w:rFonts w:ascii="Arial" w:eastAsia="Times New Roman" w:hAnsi="Arial" w:cs="Arial"/>
          <w:bCs/>
          <w:sz w:val="24"/>
          <w:szCs w:val="24"/>
          <w:lang w:eastAsia="es-CO"/>
        </w:rPr>
      </w:pPr>
      <w:r w:rsidRPr="00FE24AA">
        <w:rPr>
          <w:rFonts w:ascii="Arial" w:eastAsia="Times New Roman" w:hAnsi="Arial" w:cs="Arial"/>
          <w:bCs/>
          <w:sz w:val="24"/>
          <w:szCs w:val="24"/>
          <w:lang w:eastAsia="es-CO"/>
        </w:rPr>
        <w:t>Respetado señor Presidente:</w:t>
      </w:r>
    </w:p>
    <w:p w:rsidR="00FE24AA" w:rsidRPr="00FE24AA" w:rsidRDefault="00FE24AA" w:rsidP="006D4187">
      <w:pPr>
        <w:shd w:val="clear" w:color="auto" w:fill="FFFFFF"/>
        <w:spacing w:after="0" w:line="264" w:lineRule="auto"/>
        <w:jc w:val="both"/>
        <w:rPr>
          <w:rFonts w:ascii="Arial" w:eastAsia="Times New Roman" w:hAnsi="Arial" w:cs="Arial"/>
          <w:bCs/>
          <w:sz w:val="24"/>
          <w:szCs w:val="24"/>
          <w:lang w:eastAsia="es-CO"/>
        </w:rPr>
      </w:pPr>
    </w:p>
    <w:p w:rsidR="00FE24AA" w:rsidRPr="0079580B" w:rsidRDefault="00FE24AA" w:rsidP="006D4187">
      <w:pPr>
        <w:shd w:val="clear" w:color="auto" w:fill="FFFFFF"/>
        <w:spacing w:after="0" w:line="264" w:lineRule="auto"/>
        <w:jc w:val="both"/>
        <w:rPr>
          <w:rFonts w:ascii="Arial" w:eastAsia="Times New Roman" w:hAnsi="Arial" w:cs="Arial"/>
          <w:bCs/>
          <w:sz w:val="24"/>
          <w:szCs w:val="24"/>
          <w:lang w:eastAsia="es-CO"/>
        </w:rPr>
      </w:pPr>
      <w:r w:rsidRPr="00FE24AA">
        <w:rPr>
          <w:rFonts w:ascii="Arial" w:eastAsia="Times New Roman" w:hAnsi="Arial" w:cs="Arial"/>
          <w:bCs/>
          <w:sz w:val="24"/>
          <w:szCs w:val="24"/>
          <w:lang w:eastAsia="es-CO"/>
        </w:rPr>
        <w:t>En cumplimiento de</w:t>
      </w:r>
      <w:r w:rsidR="008D426B">
        <w:rPr>
          <w:rFonts w:ascii="Arial" w:eastAsia="Times New Roman" w:hAnsi="Arial" w:cs="Arial"/>
          <w:bCs/>
          <w:sz w:val="24"/>
          <w:szCs w:val="24"/>
          <w:lang w:eastAsia="es-CO"/>
        </w:rPr>
        <w:t xml:space="preserve"> la</w:t>
      </w:r>
      <w:r w:rsidRPr="00FE24AA">
        <w:rPr>
          <w:rFonts w:ascii="Arial" w:eastAsia="Times New Roman" w:hAnsi="Arial" w:cs="Arial"/>
          <w:bCs/>
          <w:sz w:val="24"/>
          <w:szCs w:val="24"/>
          <w:lang w:eastAsia="es-CO"/>
        </w:rPr>
        <w:t xml:space="preserve"> </w:t>
      </w:r>
      <w:r w:rsidR="002B7CED">
        <w:rPr>
          <w:rFonts w:ascii="Arial" w:eastAsia="Times New Roman" w:hAnsi="Arial" w:cs="Arial"/>
          <w:bCs/>
          <w:sz w:val="24"/>
          <w:szCs w:val="24"/>
          <w:lang w:eastAsia="es-CO"/>
        </w:rPr>
        <w:t xml:space="preserve">aprobación del informe de ponencia en primer debate </w:t>
      </w:r>
      <w:r w:rsidRPr="00FE24AA">
        <w:rPr>
          <w:rFonts w:ascii="Arial" w:eastAsia="Times New Roman" w:hAnsi="Arial" w:cs="Arial"/>
          <w:bCs/>
          <w:sz w:val="24"/>
          <w:szCs w:val="24"/>
          <w:lang w:eastAsia="es-CO"/>
        </w:rPr>
        <w:t>la Comisión Primera de la Cámara de Representantes y de conformidad con l</w:t>
      </w:r>
      <w:r w:rsidR="002B7CED">
        <w:rPr>
          <w:rFonts w:ascii="Arial" w:eastAsia="Times New Roman" w:hAnsi="Arial" w:cs="Arial"/>
          <w:bCs/>
          <w:sz w:val="24"/>
          <w:szCs w:val="24"/>
          <w:lang w:eastAsia="es-CO"/>
        </w:rPr>
        <w:t>o establecido en el Artículo 165</w:t>
      </w:r>
      <w:r w:rsidRPr="00FE24AA">
        <w:rPr>
          <w:rFonts w:ascii="Arial" w:eastAsia="Times New Roman" w:hAnsi="Arial" w:cs="Arial"/>
          <w:bCs/>
          <w:sz w:val="24"/>
          <w:szCs w:val="24"/>
          <w:lang w:eastAsia="es-CO"/>
        </w:rPr>
        <w:t xml:space="preserve"> d</w:t>
      </w:r>
      <w:r w:rsidR="009B04B4">
        <w:rPr>
          <w:rFonts w:ascii="Arial" w:eastAsia="Times New Roman" w:hAnsi="Arial" w:cs="Arial"/>
          <w:bCs/>
          <w:sz w:val="24"/>
          <w:szCs w:val="24"/>
          <w:lang w:eastAsia="es-CO"/>
        </w:rPr>
        <w:t xml:space="preserve">e la Ley 5ª de 1992, procedo </w:t>
      </w:r>
      <w:r w:rsidRPr="00FE24AA">
        <w:rPr>
          <w:rFonts w:ascii="Arial" w:eastAsia="Times New Roman" w:hAnsi="Arial" w:cs="Arial"/>
          <w:bCs/>
          <w:sz w:val="24"/>
          <w:szCs w:val="24"/>
          <w:lang w:eastAsia="es-CO"/>
        </w:rPr>
        <w:t xml:space="preserve">a rendir informe de ponencia para </w:t>
      </w:r>
      <w:r w:rsidR="002B7CED">
        <w:rPr>
          <w:rFonts w:ascii="Arial" w:eastAsia="Times New Roman" w:hAnsi="Arial" w:cs="Arial"/>
          <w:bCs/>
          <w:sz w:val="24"/>
          <w:szCs w:val="24"/>
          <w:lang w:eastAsia="es-CO"/>
        </w:rPr>
        <w:t xml:space="preserve">segundo </w:t>
      </w:r>
      <w:r w:rsidRPr="00FE24AA">
        <w:rPr>
          <w:rFonts w:ascii="Arial" w:eastAsia="Times New Roman" w:hAnsi="Arial" w:cs="Arial"/>
          <w:bCs/>
          <w:sz w:val="24"/>
          <w:szCs w:val="24"/>
          <w:lang w:eastAsia="es-CO"/>
        </w:rPr>
        <w:t>debate del proyecto de Ley No</w:t>
      </w:r>
      <w:r>
        <w:rPr>
          <w:rFonts w:ascii="Arial" w:eastAsia="Times New Roman" w:hAnsi="Arial" w:cs="Arial"/>
          <w:bCs/>
          <w:sz w:val="24"/>
          <w:szCs w:val="24"/>
          <w:lang w:eastAsia="es-CO"/>
        </w:rPr>
        <w:t>.145 de 2019 Cámara “Por medio del</w:t>
      </w:r>
      <w:r w:rsidRPr="00FE24AA">
        <w:rPr>
          <w:rFonts w:ascii="Arial" w:eastAsia="Times New Roman" w:hAnsi="Arial" w:cs="Arial"/>
          <w:bCs/>
          <w:sz w:val="24"/>
          <w:szCs w:val="24"/>
          <w:lang w:eastAsia="es-CO"/>
        </w:rPr>
        <w:t xml:space="preserve"> cual se</w:t>
      </w:r>
      <w:r w:rsidRPr="00FE24AA">
        <w:t xml:space="preserve"> </w:t>
      </w:r>
      <w:r w:rsidRPr="00FE24AA">
        <w:rPr>
          <w:rFonts w:ascii="Arial" w:eastAsia="Times New Roman" w:hAnsi="Arial" w:cs="Arial"/>
          <w:bCs/>
          <w:sz w:val="24"/>
          <w:szCs w:val="24"/>
          <w:lang w:eastAsia="es-CO"/>
        </w:rPr>
        <w:t>adiciona un numeral al artículo 57 de la ley 1952 de 2019 (código general disciplinario)”. El Informe de Ponencia se rinde en los siguientes términos:</w:t>
      </w:r>
    </w:p>
    <w:p w:rsidR="00A134ED" w:rsidRPr="00A134ED" w:rsidRDefault="00A134ED" w:rsidP="006D4187">
      <w:pPr>
        <w:pStyle w:val="Prrafodelista"/>
        <w:spacing w:after="0" w:line="264" w:lineRule="auto"/>
        <w:ind w:left="1080"/>
        <w:rPr>
          <w:b/>
        </w:rPr>
      </w:pPr>
    </w:p>
    <w:p w:rsidR="00A134ED" w:rsidRDefault="00A134ED" w:rsidP="006D4187">
      <w:pPr>
        <w:pStyle w:val="Prrafodelista"/>
        <w:spacing w:after="0" w:line="264" w:lineRule="auto"/>
        <w:ind w:left="1080"/>
        <w:jc w:val="center"/>
      </w:pPr>
    </w:p>
    <w:p w:rsidR="00FE24AA" w:rsidRDefault="005E3A35" w:rsidP="006D4187">
      <w:pPr>
        <w:pStyle w:val="Prrafodelista"/>
        <w:numPr>
          <w:ilvl w:val="0"/>
          <w:numId w:val="2"/>
        </w:numPr>
        <w:spacing w:after="0" w:line="264" w:lineRule="auto"/>
        <w:rPr>
          <w:rFonts w:ascii="Arial" w:hAnsi="Arial" w:cs="Arial"/>
          <w:b/>
          <w:sz w:val="24"/>
          <w:szCs w:val="24"/>
        </w:rPr>
      </w:pPr>
      <w:r>
        <w:rPr>
          <w:rFonts w:ascii="Arial" w:hAnsi="Arial" w:cs="Arial"/>
          <w:b/>
          <w:sz w:val="24"/>
          <w:szCs w:val="24"/>
        </w:rPr>
        <w:t xml:space="preserve">Trámite Legislativo y Antecedentes. </w:t>
      </w:r>
    </w:p>
    <w:p w:rsidR="00FE24AA" w:rsidRPr="00FE24AA" w:rsidRDefault="00FE24AA" w:rsidP="006D4187">
      <w:pPr>
        <w:pStyle w:val="Prrafodelista"/>
        <w:spacing w:after="0" w:line="264" w:lineRule="auto"/>
        <w:ind w:left="1080"/>
        <w:rPr>
          <w:rFonts w:ascii="Arial" w:hAnsi="Arial" w:cs="Arial"/>
          <w:b/>
          <w:sz w:val="24"/>
          <w:szCs w:val="24"/>
        </w:rPr>
      </w:pPr>
    </w:p>
    <w:p w:rsidR="005638CA" w:rsidRDefault="005638CA" w:rsidP="006D4187">
      <w:pPr>
        <w:pStyle w:val="Prrafodelista"/>
        <w:spacing w:after="0" w:line="264" w:lineRule="auto"/>
        <w:ind w:left="0"/>
        <w:jc w:val="both"/>
        <w:rPr>
          <w:rFonts w:ascii="Arial" w:hAnsi="Arial" w:cs="Arial"/>
          <w:sz w:val="24"/>
        </w:rPr>
      </w:pPr>
      <w:r>
        <w:rPr>
          <w:rFonts w:ascii="Arial" w:hAnsi="Arial" w:cs="Arial"/>
          <w:sz w:val="24"/>
        </w:rPr>
        <w:t xml:space="preserve">El 28 de agosto de 2018 fue radicado por el Presidente de la Republica, Iván Duque Márquez, el Procurador de General de la Nación, Fernando Carrillo Flórez, La Ministra de Justicia y del Derecho, Gloria María Borrero y por la Ministra del Interior, Nancy Patricia Gutiérrez, el </w:t>
      </w:r>
      <w:r w:rsidR="0098309C">
        <w:rPr>
          <w:rFonts w:ascii="Arial" w:hAnsi="Arial" w:cs="Arial"/>
          <w:sz w:val="24"/>
        </w:rPr>
        <w:t xml:space="preserve">Proyecto </w:t>
      </w:r>
      <w:r>
        <w:rPr>
          <w:rFonts w:ascii="Arial" w:hAnsi="Arial" w:cs="Arial"/>
          <w:sz w:val="24"/>
        </w:rPr>
        <w:t xml:space="preserve">de </w:t>
      </w:r>
      <w:r w:rsidR="0098309C">
        <w:rPr>
          <w:rFonts w:ascii="Arial" w:hAnsi="Arial" w:cs="Arial"/>
          <w:sz w:val="24"/>
        </w:rPr>
        <w:t>Ley</w:t>
      </w:r>
      <w:r>
        <w:rPr>
          <w:rFonts w:ascii="Arial" w:hAnsi="Arial" w:cs="Arial"/>
          <w:sz w:val="24"/>
        </w:rPr>
        <w:t xml:space="preserve"> No. 117 de 2018</w:t>
      </w:r>
      <w:r w:rsidR="00525A93">
        <w:rPr>
          <w:rFonts w:ascii="Arial" w:hAnsi="Arial" w:cs="Arial"/>
          <w:sz w:val="24"/>
        </w:rPr>
        <w:t xml:space="preserve"> Senado - 256 de 2018 Cámara, “P</w:t>
      </w:r>
      <w:r>
        <w:rPr>
          <w:rFonts w:ascii="Arial" w:hAnsi="Arial" w:cs="Arial"/>
          <w:sz w:val="24"/>
        </w:rPr>
        <w:t>or</w:t>
      </w:r>
      <w:r w:rsidR="0032557A">
        <w:rPr>
          <w:rFonts w:ascii="Arial" w:hAnsi="Arial" w:cs="Arial"/>
          <w:sz w:val="24"/>
        </w:rPr>
        <w:t xml:space="preserve"> medio del cual se adoptan </w:t>
      </w:r>
      <w:r>
        <w:rPr>
          <w:rFonts w:ascii="Arial" w:hAnsi="Arial" w:cs="Arial"/>
          <w:sz w:val="24"/>
        </w:rPr>
        <w:t xml:space="preserve">medidas para promover la probidad administrativa, combatir la corrupción, establecer la responsabilidad penal de las personas jurídicas, fortalecer el Ministerio Público y se dictan otras disposiciones”. Texto del proyecto original y la exposición de motivos fueron publicados en la Gaceta del Congreso número 631 de 2018.  </w:t>
      </w:r>
      <w:r w:rsidR="00586BE5">
        <w:rPr>
          <w:rFonts w:ascii="Arial" w:hAnsi="Arial" w:cs="Arial"/>
          <w:sz w:val="24"/>
        </w:rPr>
        <w:t>Este proyecto pretendía ser</w:t>
      </w:r>
      <w:r w:rsidR="001371D5">
        <w:rPr>
          <w:rFonts w:ascii="Arial" w:hAnsi="Arial" w:cs="Arial"/>
          <w:sz w:val="24"/>
        </w:rPr>
        <w:t xml:space="preserve"> un mecanismo que busca material</w:t>
      </w:r>
      <w:r w:rsidR="00586BE5">
        <w:rPr>
          <w:rFonts w:ascii="Arial" w:hAnsi="Arial" w:cs="Arial"/>
          <w:sz w:val="24"/>
        </w:rPr>
        <w:t xml:space="preserve">izar la probidad administrativa, enfrentar la </w:t>
      </w:r>
      <w:r w:rsidR="00586BE5">
        <w:rPr>
          <w:rFonts w:ascii="Arial" w:hAnsi="Arial" w:cs="Arial"/>
          <w:sz w:val="24"/>
        </w:rPr>
        <w:lastRenderedPageBreak/>
        <w:t xml:space="preserve">corrupción y todas sus manifestaciones, así mismo buscaba establecer la responsabilidad penal de las personas jurídicas. </w:t>
      </w:r>
      <w:r w:rsidR="00F23218">
        <w:rPr>
          <w:rFonts w:ascii="Arial" w:hAnsi="Arial" w:cs="Arial"/>
          <w:sz w:val="24"/>
        </w:rPr>
        <w:t xml:space="preserve">Esta iniciativa fue archivada por no completar su trámite de conformidad con el artículo </w:t>
      </w:r>
      <w:r w:rsidR="00525A93">
        <w:rPr>
          <w:rFonts w:ascii="Arial" w:hAnsi="Arial" w:cs="Arial"/>
          <w:sz w:val="24"/>
        </w:rPr>
        <w:t>1</w:t>
      </w:r>
      <w:r w:rsidR="00F23218">
        <w:rPr>
          <w:rFonts w:ascii="Arial" w:hAnsi="Arial" w:cs="Arial"/>
          <w:sz w:val="24"/>
        </w:rPr>
        <w:t xml:space="preserve">62 de la Constitución Política. </w:t>
      </w:r>
    </w:p>
    <w:p w:rsidR="001371D5" w:rsidRDefault="001371D5" w:rsidP="006D4187">
      <w:pPr>
        <w:pStyle w:val="Prrafodelista"/>
        <w:spacing w:after="0" w:line="264" w:lineRule="auto"/>
        <w:ind w:left="0"/>
        <w:jc w:val="both"/>
        <w:rPr>
          <w:rFonts w:ascii="Arial" w:hAnsi="Arial" w:cs="Arial"/>
          <w:sz w:val="24"/>
        </w:rPr>
      </w:pPr>
    </w:p>
    <w:p w:rsidR="00AB5C64" w:rsidRPr="005638CA" w:rsidRDefault="00AB5C64" w:rsidP="006D4187">
      <w:pPr>
        <w:pStyle w:val="Prrafodelista"/>
        <w:spacing w:after="0" w:line="264" w:lineRule="auto"/>
        <w:ind w:left="0"/>
        <w:jc w:val="both"/>
        <w:rPr>
          <w:rFonts w:ascii="Arial" w:hAnsi="Arial" w:cs="Arial"/>
          <w:sz w:val="24"/>
        </w:rPr>
      </w:pPr>
      <w:r>
        <w:rPr>
          <w:rFonts w:ascii="Arial" w:hAnsi="Arial" w:cs="Arial"/>
          <w:sz w:val="24"/>
        </w:rPr>
        <w:t>El proyecto de L</w:t>
      </w:r>
      <w:r w:rsidRPr="00AB5C64">
        <w:rPr>
          <w:rFonts w:ascii="Arial" w:hAnsi="Arial" w:cs="Arial"/>
          <w:sz w:val="24"/>
        </w:rPr>
        <w:t xml:space="preserve">ey </w:t>
      </w:r>
      <w:r>
        <w:rPr>
          <w:rFonts w:ascii="Arial" w:hAnsi="Arial" w:cs="Arial"/>
          <w:sz w:val="24"/>
        </w:rPr>
        <w:t>No. 145</w:t>
      </w:r>
      <w:r w:rsidRPr="00AB5C64">
        <w:rPr>
          <w:rFonts w:ascii="Arial" w:hAnsi="Arial" w:cs="Arial"/>
          <w:sz w:val="24"/>
        </w:rPr>
        <w:t xml:space="preserve"> de 2019 Cámara “Por medio de</w:t>
      </w:r>
      <w:r>
        <w:rPr>
          <w:rFonts w:ascii="Arial" w:hAnsi="Arial" w:cs="Arial"/>
          <w:sz w:val="24"/>
        </w:rPr>
        <w:t xml:space="preserve">l </w:t>
      </w:r>
      <w:r w:rsidRPr="00AB5C64">
        <w:rPr>
          <w:rFonts w:ascii="Arial" w:hAnsi="Arial" w:cs="Arial"/>
          <w:sz w:val="24"/>
          <w:szCs w:val="24"/>
        </w:rPr>
        <w:t>cual se adiciona un numeral al artículo 57 de la Ley 1952 de 2019</w:t>
      </w:r>
      <w:r>
        <w:rPr>
          <w:rFonts w:ascii="Arial" w:hAnsi="Arial" w:cs="Arial"/>
          <w:sz w:val="24"/>
          <w:szCs w:val="24"/>
        </w:rPr>
        <w:t xml:space="preserve"> (Código General Disciplinario)</w:t>
      </w:r>
      <w:r w:rsidRPr="00AB5C64">
        <w:rPr>
          <w:rFonts w:ascii="Arial" w:hAnsi="Arial" w:cs="Arial"/>
          <w:sz w:val="24"/>
          <w:szCs w:val="24"/>
        </w:rPr>
        <w:t>”.</w:t>
      </w:r>
      <w:r>
        <w:rPr>
          <w:rFonts w:ascii="Arial" w:hAnsi="Arial" w:cs="Arial"/>
          <w:sz w:val="24"/>
        </w:rPr>
        <w:t xml:space="preserve"> Fue presentado por todos </w:t>
      </w:r>
      <w:r w:rsidRPr="00AB5C64">
        <w:rPr>
          <w:rFonts w:ascii="Arial" w:hAnsi="Arial" w:cs="Arial"/>
          <w:sz w:val="24"/>
        </w:rPr>
        <w:t>los</w:t>
      </w:r>
      <w:r>
        <w:rPr>
          <w:rFonts w:ascii="Arial" w:hAnsi="Arial" w:cs="Arial"/>
          <w:sz w:val="24"/>
        </w:rPr>
        <w:t xml:space="preserve"> integrantes de la </w:t>
      </w:r>
      <w:r w:rsidR="00DA5A1A">
        <w:rPr>
          <w:rFonts w:ascii="Arial" w:hAnsi="Arial" w:cs="Arial"/>
          <w:sz w:val="24"/>
        </w:rPr>
        <w:t>C</w:t>
      </w:r>
      <w:r>
        <w:rPr>
          <w:rFonts w:ascii="Arial" w:hAnsi="Arial" w:cs="Arial"/>
          <w:sz w:val="24"/>
        </w:rPr>
        <w:t>omisión</w:t>
      </w:r>
      <w:r w:rsidR="00DA5A1A">
        <w:rPr>
          <w:rFonts w:ascii="Arial" w:hAnsi="Arial" w:cs="Arial"/>
          <w:sz w:val="24"/>
        </w:rPr>
        <w:t xml:space="preserve"> Legal de Cuentas, los</w:t>
      </w:r>
      <w:r w:rsidRPr="00AB5C64">
        <w:rPr>
          <w:rFonts w:ascii="Arial" w:hAnsi="Arial" w:cs="Arial"/>
          <w:sz w:val="24"/>
        </w:rPr>
        <w:t xml:space="preserve"> Representantes a la Cámara</w:t>
      </w:r>
      <w:r w:rsidR="00DA5A1A" w:rsidRPr="0032557A">
        <w:rPr>
          <w:rFonts w:ascii="Arial" w:hAnsi="Arial" w:cs="Arial"/>
          <w:sz w:val="24"/>
        </w:rPr>
        <w:t xml:space="preserve"> Álvaro Henry Monedero Rivera,</w:t>
      </w:r>
      <w:r w:rsidR="00DA5A1A">
        <w:t xml:space="preserve"> </w:t>
      </w:r>
      <w:r w:rsidR="00DA5A1A">
        <w:rPr>
          <w:rFonts w:ascii="Arial" w:hAnsi="Arial" w:cs="Arial"/>
          <w:sz w:val="24"/>
          <w:szCs w:val="24"/>
        </w:rPr>
        <w:t xml:space="preserve">Martha Patricia Villalba </w:t>
      </w:r>
      <w:proofErr w:type="spellStart"/>
      <w:r w:rsidR="00DA5A1A">
        <w:rPr>
          <w:rFonts w:ascii="Arial" w:hAnsi="Arial" w:cs="Arial"/>
          <w:sz w:val="24"/>
          <w:szCs w:val="24"/>
        </w:rPr>
        <w:t>Hodwalker</w:t>
      </w:r>
      <w:proofErr w:type="spellEnd"/>
      <w:r w:rsidR="00DA5A1A">
        <w:rPr>
          <w:rFonts w:ascii="Arial" w:hAnsi="Arial" w:cs="Arial"/>
          <w:sz w:val="24"/>
          <w:szCs w:val="24"/>
        </w:rPr>
        <w:t xml:space="preserve">, Atilano Alonso Giraldo Arboleda, José </w:t>
      </w:r>
      <w:proofErr w:type="spellStart"/>
      <w:r w:rsidR="00DA5A1A">
        <w:rPr>
          <w:rFonts w:ascii="Arial" w:hAnsi="Arial" w:cs="Arial"/>
          <w:sz w:val="24"/>
          <w:szCs w:val="24"/>
        </w:rPr>
        <w:t>Elver</w:t>
      </w:r>
      <w:proofErr w:type="spellEnd"/>
      <w:r w:rsidR="00DA5A1A">
        <w:rPr>
          <w:rFonts w:ascii="Arial" w:hAnsi="Arial" w:cs="Arial"/>
          <w:sz w:val="24"/>
          <w:szCs w:val="24"/>
        </w:rPr>
        <w:t xml:space="preserve"> Hernández Casas, Katherine Miranda Peña, Héctor Javier Vergara Sierra, Faber Alberto Muñoz Cerón, Jennifer Kristin Arias Falla, Diego Javier Osorio Jiménez, Diego Patiño </w:t>
      </w:r>
      <w:proofErr w:type="spellStart"/>
      <w:r w:rsidR="00DA5A1A">
        <w:rPr>
          <w:rFonts w:ascii="Arial" w:hAnsi="Arial" w:cs="Arial"/>
          <w:sz w:val="24"/>
          <w:szCs w:val="24"/>
        </w:rPr>
        <w:t>Amariles</w:t>
      </w:r>
      <w:proofErr w:type="spellEnd"/>
      <w:r w:rsidR="00DA5A1A">
        <w:rPr>
          <w:rFonts w:ascii="Arial" w:hAnsi="Arial" w:cs="Arial"/>
          <w:sz w:val="24"/>
          <w:szCs w:val="24"/>
        </w:rPr>
        <w:t xml:space="preserve">. </w:t>
      </w:r>
    </w:p>
    <w:p w:rsidR="00327A68" w:rsidRPr="00AB5C64" w:rsidRDefault="00327A68" w:rsidP="006D4187">
      <w:pPr>
        <w:pStyle w:val="Prrafodelista"/>
        <w:spacing w:after="0" w:line="264" w:lineRule="auto"/>
        <w:ind w:left="1080"/>
        <w:jc w:val="both"/>
        <w:rPr>
          <w:rFonts w:ascii="Arial" w:hAnsi="Arial" w:cs="Arial"/>
          <w:sz w:val="24"/>
        </w:rPr>
      </w:pPr>
    </w:p>
    <w:p w:rsidR="00D8615D" w:rsidRDefault="00AB5C64" w:rsidP="006D4187">
      <w:pPr>
        <w:pStyle w:val="Prrafodelista"/>
        <w:spacing w:after="0" w:line="264" w:lineRule="auto"/>
        <w:ind w:left="0"/>
        <w:jc w:val="both"/>
        <w:rPr>
          <w:rFonts w:ascii="Arial" w:hAnsi="Arial" w:cs="Arial"/>
          <w:color w:val="000000" w:themeColor="text1"/>
          <w:sz w:val="24"/>
          <w:szCs w:val="24"/>
        </w:rPr>
      </w:pPr>
      <w:r w:rsidRPr="00AB5C64">
        <w:rPr>
          <w:rFonts w:ascii="Arial" w:hAnsi="Arial" w:cs="Arial"/>
          <w:color w:val="000000" w:themeColor="text1"/>
          <w:sz w:val="24"/>
          <w:szCs w:val="24"/>
        </w:rPr>
        <w:t>El pasa</w:t>
      </w:r>
      <w:r w:rsidR="00327A68">
        <w:rPr>
          <w:rFonts w:ascii="Arial" w:hAnsi="Arial" w:cs="Arial"/>
          <w:color w:val="000000" w:themeColor="text1"/>
          <w:sz w:val="24"/>
          <w:szCs w:val="24"/>
        </w:rPr>
        <w:t xml:space="preserve">do 03 </w:t>
      </w:r>
      <w:r w:rsidRPr="00AB5C64">
        <w:rPr>
          <w:rFonts w:ascii="Arial" w:hAnsi="Arial" w:cs="Arial"/>
          <w:color w:val="000000" w:themeColor="text1"/>
          <w:sz w:val="24"/>
          <w:szCs w:val="24"/>
        </w:rPr>
        <w:t xml:space="preserve">de </w:t>
      </w:r>
      <w:r w:rsidR="00327A68">
        <w:rPr>
          <w:rFonts w:ascii="Arial" w:hAnsi="Arial" w:cs="Arial"/>
          <w:color w:val="000000" w:themeColor="text1"/>
          <w:sz w:val="24"/>
          <w:szCs w:val="24"/>
        </w:rPr>
        <w:t xml:space="preserve">septiembre </w:t>
      </w:r>
      <w:r w:rsidRPr="00AB5C64">
        <w:rPr>
          <w:rFonts w:ascii="Arial" w:hAnsi="Arial" w:cs="Arial"/>
          <w:color w:val="000000" w:themeColor="text1"/>
          <w:sz w:val="24"/>
          <w:szCs w:val="24"/>
        </w:rPr>
        <w:t>de 2019, la Mesa Directiva de la Comisión Primera de la Cámara de Repr</w:t>
      </w:r>
      <w:r w:rsidR="00327A68">
        <w:rPr>
          <w:rFonts w:ascii="Arial" w:hAnsi="Arial" w:cs="Arial"/>
          <w:color w:val="000000" w:themeColor="text1"/>
          <w:sz w:val="24"/>
          <w:szCs w:val="24"/>
        </w:rPr>
        <w:t>esentantes designó como ponente al Representante</w:t>
      </w:r>
      <w:r w:rsidRPr="00AB5C64">
        <w:rPr>
          <w:rFonts w:ascii="Arial" w:hAnsi="Arial" w:cs="Arial"/>
          <w:color w:val="000000" w:themeColor="text1"/>
          <w:sz w:val="24"/>
          <w:szCs w:val="24"/>
        </w:rPr>
        <w:t xml:space="preserve"> a la Cámara Oscar Sánchez León </w:t>
      </w:r>
      <w:r w:rsidR="003729AC">
        <w:rPr>
          <w:rFonts w:ascii="Arial" w:hAnsi="Arial" w:cs="Arial"/>
          <w:color w:val="000000" w:themeColor="text1"/>
          <w:sz w:val="24"/>
          <w:szCs w:val="24"/>
        </w:rPr>
        <w:t>(C</w:t>
      </w:r>
      <w:r w:rsidR="00327A68">
        <w:rPr>
          <w:rFonts w:ascii="Arial" w:hAnsi="Arial" w:cs="Arial"/>
          <w:color w:val="000000" w:themeColor="text1"/>
          <w:sz w:val="24"/>
          <w:szCs w:val="24"/>
        </w:rPr>
        <w:t>oordinador).</w:t>
      </w:r>
    </w:p>
    <w:p w:rsidR="001445D4" w:rsidRDefault="001445D4" w:rsidP="006D4187">
      <w:pPr>
        <w:pStyle w:val="Prrafodelista"/>
        <w:spacing w:after="0" w:line="264" w:lineRule="auto"/>
        <w:ind w:left="0"/>
        <w:jc w:val="both"/>
        <w:rPr>
          <w:rFonts w:ascii="Arial" w:hAnsi="Arial" w:cs="Arial"/>
          <w:color w:val="000000" w:themeColor="text1"/>
          <w:sz w:val="24"/>
          <w:szCs w:val="24"/>
        </w:rPr>
      </w:pPr>
    </w:p>
    <w:p w:rsidR="001445D4" w:rsidRDefault="001445D4"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El pasado 02 de junio del año 2020, </w:t>
      </w:r>
      <w:r w:rsidR="002B7CED">
        <w:rPr>
          <w:rFonts w:ascii="Arial" w:hAnsi="Arial" w:cs="Arial"/>
          <w:color w:val="000000" w:themeColor="text1"/>
          <w:sz w:val="24"/>
          <w:szCs w:val="24"/>
        </w:rPr>
        <w:t xml:space="preserve">fue aprobado el informe de ponencia en primer debate, con las proposiciones que se pusieron a consideración y fueron tenidas en cuenta para la consolidación del informe de </w:t>
      </w:r>
      <w:r>
        <w:rPr>
          <w:rFonts w:ascii="Arial" w:hAnsi="Arial" w:cs="Arial"/>
          <w:color w:val="000000" w:themeColor="text1"/>
          <w:sz w:val="24"/>
          <w:szCs w:val="24"/>
        </w:rPr>
        <w:t xml:space="preserve">ponencia </w:t>
      </w:r>
      <w:r w:rsidR="002B7CED">
        <w:rPr>
          <w:rFonts w:ascii="Arial" w:hAnsi="Arial" w:cs="Arial"/>
          <w:color w:val="000000" w:themeColor="text1"/>
          <w:sz w:val="24"/>
          <w:szCs w:val="24"/>
        </w:rPr>
        <w:t>para su segundo debate ante la Comisión Primera de la Cámara de Representantes.</w:t>
      </w:r>
    </w:p>
    <w:p w:rsidR="00BB328A" w:rsidRDefault="00BB328A" w:rsidP="006D4187">
      <w:pPr>
        <w:pStyle w:val="Prrafodelista"/>
        <w:spacing w:after="0" w:line="264" w:lineRule="auto"/>
        <w:ind w:left="0"/>
        <w:jc w:val="both"/>
        <w:rPr>
          <w:rFonts w:ascii="Arial" w:hAnsi="Arial" w:cs="Arial"/>
          <w:color w:val="000000" w:themeColor="text1"/>
          <w:sz w:val="24"/>
          <w:szCs w:val="24"/>
        </w:rPr>
      </w:pPr>
    </w:p>
    <w:p w:rsidR="00895485" w:rsidRDefault="00BB328A"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El pasado 30</w:t>
      </w:r>
      <w:r w:rsidR="00B12ACC">
        <w:rPr>
          <w:rFonts w:ascii="Arial" w:hAnsi="Arial" w:cs="Arial"/>
          <w:color w:val="000000" w:themeColor="text1"/>
          <w:sz w:val="24"/>
          <w:szCs w:val="24"/>
        </w:rPr>
        <w:t xml:space="preserve"> de julio del presente año, en sesión informal de la Comisión Legal de Cuentas de la H. Cámara de Representantes, </w:t>
      </w:r>
      <w:r w:rsidR="00001C65">
        <w:rPr>
          <w:rFonts w:ascii="Arial" w:hAnsi="Arial" w:cs="Arial"/>
          <w:color w:val="000000" w:themeColor="text1"/>
          <w:sz w:val="24"/>
          <w:szCs w:val="24"/>
        </w:rPr>
        <w:t>se llevó a cabo audiencia virtual, con la intervención de la comunidad contable del país, representa por delegados de la Contraloría General de la Republica, Auditoria General de la Republica, Contaduría General de la Nación, Procuraduría General de la Nación</w:t>
      </w:r>
      <w:r w:rsidR="00E10586">
        <w:rPr>
          <w:rFonts w:ascii="Arial" w:hAnsi="Arial" w:cs="Arial"/>
          <w:color w:val="000000" w:themeColor="text1"/>
          <w:sz w:val="24"/>
          <w:szCs w:val="24"/>
        </w:rPr>
        <w:t xml:space="preserve"> y una representante de la Alcaldía de la ciudad de Pasto (Nariño), en donde se expusieron las propuestas y principales </w:t>
      </w:r>
      <w:r w:rsidR="00895485">
        <w:rPr>
          <w:rFonts w:ascii="Arial" w:hAnsi="Arial" w:cs="Arial"/>
          <w:color w:val="000000" w:themeColor="text1"/>
          <w:sz w:val="24"/>
          <w:szCs w:val="24"/>
        </w:rPr>
        <w:t>acotaciones</w:t>
      </w:r>
      <w:r w:rsidR="008F352E">
        <w:rPr>
          <w:rFonts w:ascii="Arial" w:hAnsi="Arial" w:cs="Arial"/>
          <w:color w:val="000000" w:themeColor="text1"/>
          <w:sz w:val="24"/>
          <w:szCs w:val="24"/>
        </w:rPr>
        <w:t xml:space="preserve"> del proyecto</w:t>
      </w:r>
      <w:r w:rsidR="00895485">
        <w:rPr>
          <w:rFonts w:ascii="Arial" w:hAnsi="Arial" w:cs="Arial"/>
          <w:color w:val="000000" w:themeColor="text1"/>
          <w:sz w:val="24"/>
          <w:szCs w:val="24"/>
        </w:rPr>
        <w:t>, que aportan a la construcción de la ponencia</w:t>
      </w:r>
      <w:r w:rsidR="008F352E">
        <w:rPr>
          <w:rFonts w:ascii="Arial" w:hAnsi="Arial" w:cs="Arial"/>
          <w:color w:val="000000" w:themeColor="text1"/>
          <w:sz w:val="24"/>
          <w:szCs w:val="24"/>
        </w:rPr>
        <w:t xml:space="preserve">, </w:t>
      </w:r>
      <w:r w:rsidR="00895485">
        <w:rPr>
          <w:rFonts w:ascii="Arial" w:hAnsi="Arial" w:cs="Arial"/>
          <w:color w:val="000000" w:themeColor="text1"/>
          <w:sz w:val="24"/>
          <w:szCs w:val="24"/>
        </w:rPr>
        <w:t xml:space="preserve">dentro de las que se </w:t>
      </w:r>
      <w:r w:rsidR="008F29AF">
        <w:rPr>
          <w:rFonts w:ascii="Arial" w:hAnsi="Arial" w:cs="Arial"/>
          <w:color w:val="000000" w:themeColor="text1"/>
          <w:sz w:val="24"/>
          <w:szCs w:val="24"/>
        </w:rPr>
        <w:t>sintetizan de</w:t>
      </w:r>
      <w:r w:rsidR="00895485">
        <w:rPr>
          <w:rFonts w:ascii="Arial" w:hAnsi="Arial" w:cs="Arial"/>
          <w:color w:val="000000" w:themeColor="text1"/>
          <w:sz w:val="24"/>
          <w:szCs w:val="24"/>
        </w:rPr>
        <w:t xml:space="preserve"> las siguiente</w:t>
      </w:r>
      <w:r w:rsidR="008F29AF">
        <w:rPr>
          <w:rFonts w:ascii="Arial" w:hAnsi="Arial" w:cs="Arial"/>
          <w:color w:val="000000" w:themeColor="text1"/>
          <w:sz w:val="24"/>
          <w:szCs w:val="24"/>
        </w:rPr>
        <w:t xml:space="preserve"> manera</w:t>
      </w:r>
      <w:r w:rsidR="00895485">
        <w:rPr>
          <w:rFonts w:ascii="Arial" w:hAnsi="Arial" w:cs="Arial"/>
          <w:color w:val="000000" w:themeColor="text1"/>
          <w:sz w:val="24"/>
          <w:szCs w:val="24"/>
        </w:rPr>
        <w:t>:</w:t>
      </w:r>
    </w:p>
    <w:p w:rsidR="00895485" w:rsidRDefault="00895485" w:rsidP="006D4187">
      <w:pPr>
        <w:pStyle w:val="Prrafodelista"/>
        <w:spacing w:after="0" w:line="264" w:lineRule="auto"/>
        <w:ind w:left="0"/>
        <w:jc w:val="both"/>
        <w:rPr>
          <w:rFonts w:ascii="Arial" w:hAnsi="Arial" w:cs="Arial"/>
          <w:color w:val="000000" w:themeColor="text1"/>
          <w:sz w:val="24"/>
          <w:szCs w:val="24"/>
        </w:rPr>
      </w:pPr>
    </w:p>
    <w:p w:rsidR="00976F45" w:rsidRDefault="008F352E" w:rsidP="00976F45">
      <w:pPr>
        <w:pStyle w:val="Prrafodelista"/>
        <w:numPr>
          <w:ilvl w:val="0"/>
          <w:numId w:val="3"/>
        </w:numPr>
        <w:tabs>
          <w:tab w:val="left" w:pos="426"/>
        </w:tabs>
        <w:spacing w:after="0" w:line="264"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Se propone la modificación del número 34 del artículo 38 de la Ley 1952 de 2019, </w:t>
      </w:r>
      <w:r w:rsidR="00F23F51">
        <w:rPr>
          <w:rFonts w:ascii="Arial" w:hAnsi="Arial" w:cs="Arial"/>
          <w:color w:val="000000" w:themeColor="text1"/>
          <w:sz w:val="24"/>
          <w:szCs w:val="24"/>
        </w:rPr>
        <w:t xml:space="preserve">en el sentido de ampliar el margen de acción haciendo </w:t>
      </w:r>
      <w:r w:rsidR="00F23F51" w:rsidRPr="00F23F51">
        <w:rPr>
          <w:rFonts w:ascii="Arial" w:hAnsi="Arial" w:cs="Arial"/>
          <w:color w:val="000000" w:themeColor="text1"/>
          <w:sz w:val="24"/>
          <w:szCs w:val="24"/>
        </w:rPr>
        <w:t xml:space="preserve">claridad </w:t>
      </w:r>
      <w:r w:rsidR="00F23F51">
        <w:rPr>
          <w:rFonts w:ascii="Arial" w:hAnsi="Arial" w:cs="Arial"/>
          <w:color w:val="000000" w:themeColor="text1"/>
          <w:sz w:val="24"/>
          <w:szCs w:val="24"/>
        </w:rPr>
        <w:t xml:space="preserve">de quienes deben ser objeto de investigación disciplinaria, incluyendo para tal caso a todos </w:t>
      </w:r>
      <w:r w:rsidR="00F23F51" w:rsidRPr="00F23F51">
        <w:rPr>
          <w:rFonts w:ascii="Arial" w:hAnsi="Arial" w:cs="Arial"/>
          <w:color w:val="000000" w:themeColor="text1"/>
          <w:sz w:val="24"/>
          <w:szCs w:val="24"/>
        </w:rPr>
        <w:t>los funcionarios públicos del nivel nacional y territorial en cargos de planta, provisionales, contratistas e interventores de la entidad, que de alguna manera influyen en el proceso contable</w:t>
      </w:r>
      <w:r w:rsidR="00F23F51">
        <w:rPr>
          <w:rFonts w:ascii="Arial" w:hAnsi="Arial" w:cs="Arial"/>
          <w:color w:val="000000" w:themeColor="text1"/>
          <w:sz w:val="24"/>
          <w:szCs w:val="24"/>
        </w:rPr>
        <w:t xml:space="preserve"> o sus procesos fuentes.</w:t>
      </w:r>
    </w:p>
    <w:p w:rsidR="00976F45" w:rsidRDefault="00976F45" w:rsidP="00976F45">
      <w:pPr>
        <w:pStyle w:val="Prrafodelista"/>
        <w:tabs>
          <w:tab w:val="left" w:pos="426"/>
        </w:tabs>
        <w:spacing w:after="0" w:line="264" w:lineRule="auto"/>
        <w:ind w:left="0"/>
        <w:jc w:val="both"/>
        <w:rPr>
          <w:rFonts w:ascii="Arial" w:hAnsi="Arial" w:cs="Arial"/>
          <w:color w:val="000000" w:themeColor="text1"/>
          <w:sz w:val="24"/>
          <w:szCs w:val="24"/>
        </w:rPr>
      </w:pPr>
    </w:p>
    <w:p w:rsidR="00327A68" w:rsidRPr="00976F45" w:rsidRDefault="008F29AF" w:rsidP="00976F45">
      <w:pPr>
        <w:pStyle w:val="Prrafodelista"/>
        <w:numPr>
          <w:ilvl w:val="0"/>
          <w:numId w:val="3"/>
        </w:numPr>
        <w:tabs>
          <w:tab w:val="left" w:pos="426"/>
        </w:tabs>
        <w:spacing w:after="0" w:line="264" w:lineRule="auto"/>
        <w:ind w:left="0" w:firstLine="0"/>
        <w:jc w:val="both"/>
        <w:rPr>
          <w:rFonts w:ascii="Arial" w:hAnsi="Arial" w:cs="Arial"/>
          <w:color w:val="000000" w:themeColor="text1"/>
          <w:sz w:val="24"/>
          <w:szCs w:val="24"/>
        </w:rPr>
      </w:pPr>
      <w:r w:rsidRPr="00976F45">
        <w:rPr>
          <w:rFonts w:ascii="Arial" w:hAnsi="Arial" w:cs="Arial"/>
          <w:color w:val="000000" w:themeColor="text1"/>
          <w:sz w:val="24"/>
          <w:szCs w:val="24"/>
        </w:rPr>
        <w:t xml:space="preserve">Se plantea </w:t>
      </w:r>
      <w:r w:rsidR="0055678E" w:rsidRPr="00976F45">
        <w:rPr>
          <w:rFonts w:ascii="Arial" w:hAnsi="Arial" w:cs="Arial"/>
          <w:color w:val="000000" w:themeColor="text1"/>
          <w:sz w:val="24"/>
          <w:szCs w:val="24"/>
        </w:rPr>
        <w:t xml:space="preserve">ampliar el margen de tres años en el dictamen negativo o abstención de opinión que den origen al no fenecimiento de la cuenta fiscal de las entidades públicas objeto de control, y que su sanción sea a título de falta gravísima, así mismo </w:t>
      </w:r>
      <w:r w:rsidR="0055678E" w:rsidRPr="00976F45">
        <w:rPr>
          <w:rFonts w:ascii="Arial" w:hAnsi="Arial" w:cs="Arial"/>
          <w:color w:val="000000" w:themeColor="text1"/>
          <w:sz w:val="24"/>
          <w:szCs w:val="24"/>
        </w:rPr>
        <w:lastRenderedPageBreak/>
        <w:t xml:space="preserve">solicitan que se </w:t>
      </w:r>
      <w:r w:rsidRPr="00976F45">
        <w:rPr>
          <w:rFonts w:ascii="Arial" w:hAnsi="Arial" w:cs="Arial"/>
          <w:color w:val="000000" w:themeColor="text1"/>
          <w:sz w:val="24"/>
          <w:szCs w:val="24"/>
        </w:rPr>
        <w:t xml:space="preserve">aclarar en el texto legal, como se determinaría el grado de responsabilidad en los casos en que se presente cambio de alguno de los sujetos activos de la conducta dentro del lapso que se contempla para configurarse la transgresión </w:t>
      </w:r>
      <w:r w:rsidR="0055678E" w:rsidRPr="00976F45">
        <w:rPr>
          <w:rFonts w:ascii="Arial" w:hAnsi="Arial" w:cs="Arial"/>
          <w:color w:val="000000" w:themeColor="text1"/>
          <w:sz w:val="24"/>
          <w:szCs w:val="24"/>
        </w:rPr>
        <w:t>a la falta</w:t>
      </w:r>
      <w:r w:rsidRPr="00976F45">
        <w:rPr>
          <w:rFonts w:ascii="Arial" w:hAnsi="Arial" w:cs="Arial"/>
          <w:color w:val="000000" w:themeColor="text1"/>
          <w:sz w:val="24"/>
          <w:szCs w:val="24"/>
        </w:rPr>
        <w:t>.</w:t>
      </w:r>
    </w:p>
    <w:p w:rsidR="006D4187" w:rsidRDefault="006D4187" w:rsidP="006D4187">
      <w:pPr>
        <w:pStyle w:val="Prrafodelista"/>
        <w:spacing w:after="0" w:line="264" w:lineRule="auto"/>
        <w:ind w:left="0"/>
        <w:jc w:val="both"/>
        <w:rPr>
          <w:rFonts w:ascii="Arial" w:hAnsi="Arial" w:cs="Arial"/>
          <w:color w:val="000000" w:themeColor="text1"/>
          <w:sz w:val="24"/>
          <w:szCs w:val="24"/>
        </w:rPr>
      </w:pPr>
    </w:p>
    <w:p w:rsidR="00327A68" w:rsidRPr="00FE24AA" w:rsidRDefault="00976F45" w:rsidP="006D4187">
      <w:pPr>
        <w:pStyle w:val="Prrafodelista"/>
        <w:numPr>
          <w:ilvl w:val="0"/>
          <w:numId w:val="2"/>
        </w:numPr>
        <w:spacing w:after="0" w:line="264" w:lineRule="auto"/>
        <w:jc w:val="both"/>
        <w:rPr>
          <w:rFonts w:ascii="Arial" w:hAnsi="Arial" w:cs="Arial"/>
          <w:b/>
          <w:color w:val="000000" w:themeColor="text1"/>
          <w:sz w:val="24"/>
          <w:szCs w:val="24"/>
        </w:rPr>
      </w:pPr>
      <w:r>
        <w:rPr>
          <w:rFonts w:ascii="Arial" w:hAnsi="Arial" w:cs="Arial"/>
          <w:b/>
          <w:color w:val="000000" w:themeColor="text1"/>
          <w:sz w:val="24"/>
          <w:szCs w:val="24"/>
        </w:rPr>
        <w:t>Consideraciones del Ponente</w:t>
      </w:r>
      <w:r w:rsidR="002F3943" w:rsidRPr="00FE24AA">
        <w:rPr>
          <w:rFonts w:ascii="Arial" w:hAnsi="Arial" w:cs="Arial"/>
          <w:b/>
          <w:color w:val="000000" w:themeColor="text1"/>
          <w:sz w:val="24"/>
          <w:szCs w:val="24"/>
        </w:rPr>
        <w:t>:</w:t>
      </w:r>
    </w:p>
    <w:p w:rsidR="0073584E" w:rsidRPr="00FE24AA" w:rsidRDefault="0073584E" w:rsidP="006D4187">
      <w:pPr>
        <w:pStyle w:val="Prrafodelista"/>
        <w:spacing w:after="0" w:line="264" w:lineRule="auto"/>
        <w:ind w:left="1080"/>
        <w:jc w:val="both"/>
        <w:rPr>
          <w:rFonts w:ascii="Arial" w:hAnsi="Arial" w:cs="Arial"/>
          <w:b/>
          <w:color w:val="000000" w:themeColor="text1"/>
          <w:sz w:val="24"/>
          <w:szCs w:val="24"/>
        </w:rPr>
      </w:pPr>
    </w:p>
    <w:p w:rsidR="00000C2C" w:rsidRDefault="007B67BE"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Analizadas las </w:t>
      </w:r>
      <w:r w:rsidR="002B7CED">
        <w:rPr>
          <w:rFonts w:ascii="Arial" w:hAnsi="Arial" w:cs="Arial"/>
          <w:color w:val="000000" w:themeColor="text1"/>
          <w:sz w:val="24"/>
          <w:szCs w:val="24"/>
        </w:rPr>
        <w:t xml:space="preserve">proposiciones </w:t>
      </w:r>
      <w:r>
        <w:rPr>
          <w:rFonts w:ascii="Arial" w:hAnsi="Arial" w:cs="Arial"/>
          <w:color w:val="000000" w:themeColor="text1"/>
          <w:sz w:val="24"/>
          <w:szCs w:val="24"/>
        </w:rPr>
        <w:t xml:space="preserve">y demás observaciones, tendientes a mejorar el </w:t>
      </w:r>
      <w:r w:rsidR="00C71F9B">
        <w:rPr>
          <w:rFonts w:ascii="Arial" w:hAnsi="Arial" w:cs="Arial"/>
          <w:color w:val="000000" w:themeColor="text1"/>
          <w:sz w:val="24"/>
          <w:szCs w:val="24"/>
        </w:rPr>
        <w:t xml:space="preserve">presente </w:t>
      </w:r>
      <w:r>
        <w:rPr>
          <w:rFonts w:ascii="Arial" w:hAnsi="Arial" w:cs="Arial"/>
          <w:color w:val="000000" w:themeColor="text1"/>
          <w:sz w:val="24"/>
          <w:szCs w:val="24"/>
        </w:rPr>
        <w:t>Proyecto de Ley, la</w:t>
      </w:r>
      <w:r w:rsidR="00000C2C">
        <w:rPr>
          <w:rFonts w:ascii="Arial" w:hAnsi="Arial" w:cs="Arial"/>
          <w:color w:val="000000" w:themeColor="text1"/>
          <w:sz w:val="24"/>
          <w:szCs w:val="24"/>
        </w:rPr>
        <w:t>s</w:t>
      </w:r>
      <w:r>
        <w:rPr>
          <w:rFonts w:ascii="Arial" w:hAnsi="Arial" w:cs="Arial"/>
          <w:color w:val="000000" w:themeColor="text1"/>
          <w:sz w:val="24"/>
          <w:szCs w:val="24"/>
        </w:rPr>
        <w:t xml:space="preserve"> </w:t>
      </w:r>
      <w:r w:rsidR="00000C2C">
        <w:rPr>
          <w:rFonts w:ascii="Arial" w:hAnsi="Arial" w:cs="Arial"/>
          <w:color w:val="000000" w:themeColor="text1"/>
          <w:sz w:val="24"/>
          <w:szCs w:val="24"/>
        </w:rPr>
        <w:t xml:space="preserve">mismas que </w:t>
      </w:r>
      <w:r>
        <w:rPr>
          <w:rFonts w:ascii="Arial" w:hAnsi="Arial" w:cs="Arial"/>
          <w:color w:val="000000" w:themeColor="text1"/>
          <w:sz w:val="24"/>
          <w:szCs w:val="24"/>
        </w:rPr>
        <w:t xml:space="preserve">fueron </w:t>
      </w:r>
      <w:r w:rsidR="00000C2C">
        <w:rPr>
          <w:rFonts w:ascii="Arial" w:hAnsi="Arial" w:cs="Arial"/>
          <w:color w:val="000000" w:themeColor="text1"/>
          <w:sz w:val="24"/>
          <w:szCs w:val="24"/>
        </w:rPr>
        <w:t>sujeto de discusión</w:t>
      </w:r>
      <w:r>
        <w:rPr>
          <w:rFonts w:ascii="Arial" w:hAnsi="Arial" w:cs="Arial"/>
          <w:color w:val="000000" w:themeColor="text1"/>
          <w:sz w:val="24"/>
          <w:szCs w:val="24"/>
        </w:rPr>
        <w:t xml:space="preserve"> en la sesión del pasado </w:t>
      </w:r>
      <w:r w:rsidR="002B7CED">
        <w:rPr>
          <w:rFonts w:ascii="Arial" w:hAnsi="Arial" w:cs="Arial"/>
          <w:color w:val="000000" w:themeColor="text1"/>
          <w:sz w:val="24"/>
          <w:szCs w:val="24"/>
        </w:rPr>
        <w:t xml:space="preserve">02 de junio del 2020, </w:t>
      </w:r>
      <w:r>
        <w:rPr>
          <w:rFonts w:ascii="Arial" w:hAnsi="Arial" w:cs="Arial"/>
          <w:color w:val="000000" w:themeColor="text1"/>
          <w:sz w:val="24"/>
          <w:szCs w:val="24"/>
        </w:rPr>
        <w:t>por los H. Representantes de la Comisión</w:t>
      </w:r>
      <w:r w:rsidR="002B7CED">
        <w:rPr>
          <w:rFonts w:ascii="Arial" w:hAnsi="Arial" w:cs="Arial"/>
          <w:color w:val="000000" w:themeColor="text1"/>
          <w:sz w:val="24"/>
          <w:szCs w:val="24"/>
        </w:rPr>
        <w:t xml:space="preserve"> </w:t>
      </w:r>
      <w:r>
        <w:rPr>
          <w:rFonts w:ascii="Arial" w:hAnsi="Arial" w:cs="Arial"/>
          <w:color w:val="000000" w:themeColor="text1"/>
          <w:sz w:val="24"/>
          <w:szCs w:val="24"/>
        </w:rPr>
        <w:t xml:space="preserve">Primera </w:t>
      </w:r>
      <w:r w:rsidR="003F7BEC">
        <w:rPr>
          <w:rFonts w:ascii="Arial" w:hAnsi="Arial" w:cs="Arial"/>
          <w:color w:val="000000" w:themeColor="text1"/>
          <w:sz w:val="24"/>
          <w:szCs w:val="24"/>
        </w:rPr>
        <w:t xml:space="preserve">Constitucional </w:t>
      </w:r>
      <w:r>
        <w:rPr>
          <w:rFonts w:ascii="Arial" w:hAnsi="Arial" w:cs="Arial"/>
          <w:color w:val="000000" w:themeColor="text1"/>
          <w:sz w:val="24"/>
          <w:szCs w:val="24"/>
        </w:rPr>
        <w:t>Permanente,</w:t>
      </w:r>
      <w:r w:rsidR="00895485">
        <w:rPr>
          <w:rFonts w:ascii="Arial" w:hAnsi="Arial" w:cs="Arial"/>
          <w:color w:val="000000" w:themeColor="text1"/>
          <w:sz w:val="24"/>
          <w:szCs w:val="24"/>
        </w:rPr>
        <w:t xml:space="preserve"> así como en la audiencia virtual en la Comisión Legal de Cuentas de la H. Cámara de Representantes, llevada a cabo el pasado 30 de julio,</w:t>
      </w:r>
      <w:r>
        <w:rPr>
          <w:rFonts w:ascii="Arial" w:hAnsi="Arial" w:cs="Arial"/>
          <w:color w:val="000000" w:themeColor="text1"/>
          <w:sz w:val="24"/>
          <w:szCs w:val="24"/>
        </w:rPr>
        <w:t xml:space="preserve"> es preciso replantear la conveniencia de calificar la descripción de la falta disciplinaria que se pretende incluir en el ordenamiento legal, dentro del </w:t>
      </w:r>
      <w:r w:rsidR="00EF33B5">
        <w:rPr>
          <w:rFonts w:ascii="Arial" w:hAnsi="Arial" w:cs="Arial"/>
          <w:color w:val="000000" w:themeColor="text1"/>
          <w:sz w:val="24"/>
          <w:szCs w:val="24"/>
        </w:rPr>
        <w:t xml:space="preserve">catálogo </w:t>
      </w:r>
      <w:r>
        <w:rPr>
          <w:rFonts w:ascii="Arial" w:hAnsi="Arial" w:cs="Arial"/>
          <w:color w:val="000000" w:themeColor="text1"/>
          <w:sz w:val="24"/>
          <w:szCs w:val="24"/>
        </w:rPr>
        <w:t xml:space="preserve">de deberes </w:t>
      </w:r>
      <w:r w:rsidR="003F7BEC">
        <w:rPr>
          <w:rFonts w:ascii="Arial" w:hAnsi="Arial" w:cs="Arial"/>
          <w:color w:val="000000" w:themeColor="text1"/>
          <w:sz w:val="24"/>
          <w:szCs w:val="24"/>
        </w:rPr>
        <w:t>previstos en el artículo 38</w:t>
      </w:r>
      <w:r>
        <w:rPr>
          <w:rFonts w:ascii="Arial" w:hAnsi="Arial" w:cs="Arial"/>
          <w:color w:val="000000" w:themeColor="text1"/>
          <w:sz w:val="24"/>
          <w:szCs w:val="24"/>
        </w:rPr>
        <w:t xml:space="preserve"> de la Ley 1952 de 2019, </w:t>
      </w:r>
      <w:r w:rsidR="00525A93">
        <w:rPr>
          <w:rFonts w:ascii="Arial" w:hAnsi="Arial" w:cs="Arial"/>
          <w:color w:val="000000" w:themeColor="text1"/>
          <w:sz w:val="24"/>
          <w:szCs w:val="24"/>
        </w:rPr>
        <w:t>“</w:t>
      </w:r>
      <w:r w:rsidR="002F3943">
        <w:rPr>
          <w:rFonts w:ascii="Arial" w:hAnsi="Arial" w:cs="Arial"/>
          <w:color w:val="000000" w:themeColor="text1"/>
          <w:sz w:val="24"/>
          <w:szCs w:val="24"/>
        </w:rPr>
        <w:t>por medio de la cual se expide el Código General Di</w:t>
      </w:r>
      <w:r w:rsidR="009D733B">
        <w:rPr>
          <w:rFonts w:ascii="Arial" w:hAnsi="Arial" w:cs="Arial"/>
          <w:color w:val="000000" w:themeColor="text1"/>
          <w:sz w:val="24"/>
          <w:szCs w:val="24"/>
        </w:rPr>
        <w:t>sciplinario</w:t>
      </w:r>
      <w:r w:rsidR="00525A93">
        <w:rPr>
          <w:rFonts w:ascii="Arial" w:hAnsi="Arial" w:cs="Arial"/>
          <w:color w:val="000000" w:themeColor="text1"/>
          <w:sz w:val="24"/>
          <w:szCs w:val="24"/>
        </w:rPr>
        <w:t>”</w:t>
      </w:r>
      <w:r w:rsidR="007C738C">
        <w:rPr>
          <w:rFonts w:ascii="Arial" w:hAnsi="Arial" w:cs="Arial"/>
          <w:color w:val="000000" w:themeColor="text1"/>
          <w:sz w:val="24"/>
          <w:szCs w:val="24"/>
        </w:rPr>
        <w:t>.</w:t>
      </w:r>
    </w:p>
    <w:p w:rsidR="007C738C" w:rsidRDefault="007C738C" w:rsidP="006D4187">
      <w:pPr>
        <w:pStyle w:val="Prrafodelista"/>
        <w:spacing w:after="0" w:line="264" w:lineRule="auto"/>
        <w:ind w:left="0"/>
        <w:jc w:val="both"/>
        <w:rPr>
          <w:rFonts w:ascii="Arial" w:hAnsi="Arial" w:cs="Arial"/>
          <w:color w:val="000000" w:themeColor="text1"/>
          <w:sz w:val="24"/>
          <w:szCs w:val="24"/>
        </w:rPr>
      </w:pPr>
    </w:p>
    <w:p w:rsidR="009F2EDE" w:rsidRDefault="007C738C"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Lo </w:t>
      </w:r>
      <w:r w:rsidR="009F2EDE">
        <w:rPr>
          <w:rFonts w:ascii="Arial" w:hAnsi="Arial" w:cs="Arial"/>
          <w:color w:val="000000" w:themeColor="text1"/>
          <w:sz w:val="24"/>
          <w:szCs w:val="24"/>
        </w:rPr>
        <w:t>anterior obedece al hecho de considerar razonable y proporcional la tipificación de la conducta</w:t>
      </w:r>
      <w:r w:rsidR="003D61E2">
        <w:rPr>
          <w:rFonts w:ascii="Arial" w:hAnsi="Arial" w:cs="Arial"/>
          <w:color w:val="000000" w:themeColor="text1"/>
          <w:sz w:val="24"/>
          <w:szCs w:val="24"/>
        </w:rPr>
        <w:t>,</w:t>
      </w:r>
      <w:r w:rsidR="009F2EDE">
        <w:rPr>
          <w:rFonts w:ascii="Arial" w:hAnsi="Arial" w:cs="Arial"/>
          <w:color w:val="000000" w:themeColor="text1"/>
          <w:sz w:val="24"/>
          <w:szCs w:val="24"/>
        </w:rPr>
        <w:t xml:space="preserve"> dentro de los postulados que se enmarcan en la configuración de las </w:t>
      </w:r>
      <w:r w:rsidR="00C71F9B">
        <w:rPr>
          <w:rFonts w:ascii="Arial" w:hAnsi="Arial" w:cs="Arial"/>
          <w:color w:val="000000" w:themeColor="text1"/>
          <w:sz w:val="24"/>
          <w:szCs w:val="24"/>
        </w:rPr>
        <w:t>faltas graves</w:t>
      </w:r>
      <w:r w:rsidR="003F7BEC">
        <w:rPr>
          <w:rFonts w:ascii="Arial" w:hAnsi="Arial" w:cs="Arial"/>
          <w:color w:val="000000" w:themeColor="text1"/>
          <w:sz w:val="24"/>
          <w:szCs w:val="24"/>
        </w:rPr>
        <w:t xml:space="preserve"> y leves</w:t>
      </w:r>
      <w:r w:rsidR="00C71F9B">
        <w:rPr>
          <w:rFonts w:ascii="Arial" w:hAnsi="Arial" w:cs="Arial"/>
          <w:color w:val="000000" w:themeColor="text1"/>
          <w:sz w:val="24"/>
          <w:szCs w:val="24"/>
        </w:rPr>
        <w:t xml:space="preserve"> previstas en la citada normatividad, pues de encuadrarse dentro de las faltas gravísimas se estaría incurriendo en un desequilibrio en los fines de la sanción disciplinaria, </w:t>
      </w:r>
      <w:r w:rsidR="003F7BEC">
        <w:rPr>
          <w:rFonts w:ascii="Arial" w:hAnsi="Arial" w:cs="Arial"/>
          <w:color w:val="000000" w:themeColor="text1"/>
          <w:sz w:val="24"/>
          <w:szCs w:val="24"/>
        </w:rPr>
        <w:t>dado que</w:t>
      </w:r>
      <w:r w:rsidR="009F2EDE">
        <w:rPr>
          <w:rFonts w:ascii="Arial" w:hAnsi="Arial" w:cs="Arial"/>
          <w:color w:val="000000" w:themeColor="text1"/>
          <w:sz w:val="24"/>
          <w:szCs w:val="24"/>
        </w:rPr>
        <w:t xml:space="preserve"> </w:t>
      </w:r>
      <w:r>
        <w:rPr>
          <w:rFonts w:ascii="Arial" w:hAnsi="Arial" w:cs="Arial"/>
          <w:color w:val="000000" w:themeColor="text1"/>
          <w:sz w:val="24"/>
          <w:szCs w:val="24"/>
        </w:rPr>
        <w:t>la conducta que se pretende adici</w:t>
      </w:r>
      <w:r w:rsidR="007B6999">
        <w:rPr>
          <w:rFonts w:ascii="Arial" w:hAnsi="Arial" w:cs="Arial"/>
          <w:color w:val="000000" w:themeColor="text1"/>
          <w:sz w:val="24"/>
          <w:szCs w:val="24"/>
        </w:rPr>
        <w:t>onar al ordenamiento legal</w:t>
      </w:r>
      <w:r>
        <w:rPr>
          <w:rFonts w:ascii="Arial" w:hAnsi="Arial" w:cs="Arial"/>
          <w:color w:val="000000" w:themeColor="text1"/>
          <w:sz w:val="24"/>
          <w:szCs w:val="24"/>
        </w:rPr>
        <w:t xml:space="preserve"> </w:t>
      </w:r>
      <w:r w:rsidR="00A70A12">
        <w:rPr>
          <w:rFonts w:ascii="Arial" w:hAnsi="Arial" w:cs="Arial"/>
          <w:color w:val="000000" w:themeColor="text1"/>
          <w:sz w:val="24"/>
          <w:szCs w:val="24"/>
        </w:rPr>
        <w:t xml:space="preserve">en los </w:t>
      </w:r>
      <w:r>
        <w:rPr>
          <w:rFonts w:ascii="Arial" w:hAnsi="Arial" w:cs="Arial"/>
          <w:color w:val="000000" w:themeColor="text1"/>
          <w:sz w:val="24"/>
          <w:szCs w:val="24"/>
        </w:rPr>
        <w:t>deber</w:t>
      </w:r>
      <w:r w:rsidR="00467627">
        <w:rPr>
          <w:rFonts w:ascii="Arial" w:hAnsi="Arial" w:cs="Arial"/>
          <w:color w:val="000000" w:themeColor="text1"/>
          <w:sz w:val="24"/>
          <w:szCs w:val="24"/>
        </w:rPr>
        <w:t>es</w:t>
      </w:r>
      <w:r w:rsidR="00A70A12">
        <w:rPr>
          <w:rFonts w:ascii="Arial" w:hAnsi="Arial" w:cs="Arial"/>
          <w:color w:val="000000" w:themeColor="text1"/>
          <w:sz w:val="24"/>
          <w:szCs w:val="24"/>
        </w:rPr>
        <w:t xml:space="preserve"> del servidor público, hace alusión a una desatención por parte de un funcionario </w:t>
      </w:r>
      <w:r w:rsidR="00467627">
        <w:rPr>
          <w:rFonts w:ascii="Arial" w:hAnsi="Arial" w:cs="Arial"/>
          <w:color w:val="000000" w:themeColor="text1"/>
          <w:sz w:val="24"/>
          <w:szCs w:val="24"/>
        </w:rPr>
        <w:t xml:space="preserve">público calificado, </w:t>
      </w:r>
      <w:r w:rsidR="00A70A12">
        <w:rPr>
          <w:rFonts w:ascii="Arial" w:hAnsi="Arial" w:cs="Arial"/>
          <w:color w:val="000000" w:themeColor="text1"/>
          <w:sz w:val="24"/>
          <w:szCs w:val="24"/>
        </w:rPr>
        <w:t xml:space="preserve">bien sea </w:t>
      </w:r>
      <w:r w:rsidR="00467627">
        <w:rPr>
          <w:rFonts w:ascii="Arial" w:hAnsi="Arial" w:cs="Arial"/>
          <w:color w:val="000000" w:themeColor="text1"/>
          <w:sz w:val="24"/>
          <w:szCs w:val="24"/>
        </w:rPr>
        <w:t xml:space="preserve">el representante legal, el </w:t>
      </w:r>
      <w:r w:rsidR="0073584E">
        <w:rPr>
          <w:rFonts w:ascii="Arial" w:hAnsi="Arial" w:cs="Arial"/>
          <w:color w:val="000000" w:themeColor="text1"/>
          <w:sz w:val="24"/>
          <w:szCs w:val="24"/>
        </w:rPr>
        <w:t xml:space="preserve">ordenador del gasto </w:t>
      </w:r>
      <w:r w:rsidR="00467627">
        <w:rPr>
          <w:rFonts w:ascii="Arial" w:hAnsi="Arial" w:cs="Arial"/>
          <w:color w:val="000000" w:themeColor="text1"/>
          <w:sz w:val="24"/>
          <w:szCs w:val="24"/>
        </w:rPr>
        <w:t xml:space="preserve">o quien haga sus veces, </w:t>
      </w:r>
      <w:r w:rsidR="00A70A12">
        <w:rPr>
          <w:rFonts w:ascii="Arial" w:hAnsi="Arial" w:cs="Arial"/>
          <w:color w:val="000000" w:themeColor="text1"/>
          <w:sz w:val="24"/>
          <w:szCs w:val="24"/>
        </w:rPr>
        <w:t>de una entidad administrativa de derecho público del nivel central</w:t>
      </w:r>
      <w:r w:rsidR="007B6999">
        <w:rPr>
          <w:rFonts w:ascii="Arial" w:hAnsi="Arial" w:cs="Arial"/>
          <w:color w:val="000000" w:themeColor="text1"/>
          <w:sz w:val="24"/>
          <w:szCs w:val="24"/>
        </w:rPr>
        <w:t xml:space="preserve"> y descentralizado</w:t>
      </w:r>
      <w:r w:rsidR="00A70A12">
        <w:rPr>
          <w:rFonts w:ascii="Arial" w:hAnsi="Arial" w:cs="Arial"/>
          <w:color w:val="000000" w:themeColor="text1"/>
          <w:sz w:val="24"/>
          <w:szCs w:val="24"/>
        </w:rPr>
        <w:t xml:space="preserve">, que </w:t>
      </w:r>
      <w:r w:rsidR="009F2EDE">
        <w:rPr>
          <w:rFonts w:ascii="Arial" w:hAnsi="Arial" w:cs="Arial"/>
          <w:color w:val="000000" w:themeColor="text1"/>
          <w:sz w:val="24"/>
          <w:szCs w:val="24"/>
        </w:rPr>
        <w:t xml:space="preserve">en </w:t>
      </w:r>
      <w:r w:rsidR="00467627">
        <w:rPr>
          <w:rFonts w:ascii="Arial" w:hAnsi="Arial" w:cs="Arial"/>
          <w:color w:val="000000" w:themeColor="text1"/>
          <w:sz w:val="24"/>
          <w:szCs w:val="24"/>
        </w:rPr>
        <w:t xml:space="preserve">el ejercicio de sus funciones de dirección y manejo de los recursos públicos, </w:t>
      </w:r>
      <w:r w:rsidR="009F2EDE">
        <w:rPr>
          <w:rFonts w:ascii="Arial" w:hAnsi="Arial" w:cs="Arial"/>
          <w:color w:val="000000" w:themeColor="text1"/>
          <w:sz w:val="24"/>
          <w:szCs w:val="24"/>
        </w:rPr>
        <w:t xml:space="preserve">le </w:t>
      </w:r>
      <w:r w:rsidR="00A70A12">
        <w:rPr>
          <w:rFonts w:ascii="Arial" w:hAnsi="Arial" w:cs="Arial"/>
          <w:color w:val="000000" w:themeColor="text1"/>
          <w:sz w:val="24"/>
          <w:szCs w:val="24"/>
        </w:rPr>
        <w:t>sea dictaminado</w:t>
      </w:r>
      <w:r w:rsidR="00467627">
        <w:rPr>
          <w:rFonts w:ascii="Arial" w:hAnsi="Arial" w:cs="Arial"/>
          <w:color w:val="000000" w:themeColor="text1"/>
          <w:sz w:val="24"/>
          <w:szCs w:val="24"/>
        </w:rPr>
        <w:t xml:space="preserve"> </w:t>
      </w:r>
      <w:r w:rsidR="0073584E">
        <w:rPr>
          <w:rFonts w:ascii="Arial" w:hAnsi="Arial" w:cs="Arial"/>
          <w:color w:val="000000" w:themeColor="text1"/>
          <w:sz w:val="24"/>
          <w:szCs w:val="24"/>
        </w:rPr>
        <w:t xml:space="preserve">durante las dos últimas vigencias fiscales, </w:t>
      </w:r>
      <w:r w:rsidR="00A70A12">
        <w:rPr>
          <w:rFonts w:ascii="Arial" w:hAnsi="Arial" w:cs="Arial"/>
          <w:color w:val="000000" w:themeColor="text1"/>
          <w:sz w:val="24"/>
          <w:szCs w:val="24"/>
        </w:rPr>
        <w:t xml:space="preserve">los estados financieros con negación o abstención de opinión y no </w:t>
      </w:r>
      <w:r w:rsidR="00EF33B5">
        <w:rPr>
          <w:rFonts w:ascii="Arial" w:hAnsi="Arial" w:cs="Arial"/>
          <w:color w:val="000000" w:themeColor="text1"/>
          <w:sz w:val="24"/>
          <w:szCs w:val="24"/>
        </w:rPr>
        <w:t xml:space="preserve">se </w:t>
      </w:r>
      <w:r w:rsidR="00A70A12">
        <w:rPr>
          <w:rFonts w:ascii="Arial" w:hAnsi="Arial" w:cs="Arial"/>
          <w:color w:val="000000" w:themeColor="text1"/>
          <w:sz w:val="24"/>
          <w:szCs w:val="24"/>
        </w:rPr>
        <w:t xml:space="preserve">le fenezca la cuenta fiscal </w:t>
      </w:r>
      <w:r w:rsidR="0032557A">
        <w:rPr>
          <w:rFonts w:ascii="Arial" w:hAnsi="Arial" w:cs="Arial"/>
          <w:color w:val="000000" w:themeColor="text1"/>
          <w:sz w:val="24"/>
          <w:szCs w:val="24"/>
        </w:rPr>
        <w:t xml:space="preserve">por </w:t>
      </w:r>
      <w:r w:rsidR="00467627">
        <w:rPr>
          <w:rFonts w:ascii="Arial" w:hAnsi="Arial" w:cs="Arial"/>
          <w:color w:val="000000" w:themeColor="text1"/>
          <w:sz w:val="24"/>
          <w:szCs w:val="24"/>
        </w:rPr>
        <w:t xml:space="preserve">parte de </w:t>
      </w:r>
      <w:r w:rsidR="0032557A">
        <w:rPr>
          <w:rFonts w:ascii="Arial" w:hAnsi="Arial" w:cs="Arial"/>
          <w:color w:val="000000" w:themeColor="text1"/>
          <w:sz w:val="24"/>
          <w:szCs w:val="24"/>
        </w:rPr>
        <w:t>la C</w:t>
      </w:r>
      <w:r w:rsidR="0073584E">
        <w:rPr>
          <w:rFonts w:ascii="Arial" w:hAnsi="Arial" w:cs="Arial"/>
          <w:color w:val="000000" w:themeColor="text1"/>
          <w:sz w:val="24"/>
          <w:szCs w:val="24"/>
        </w:rPr>
        <w:t>ontraloría General de la Republica</w:t>
      </w:r>
      <w:r w:rsidR="00A70A12">
        <w:rPr>
          <w:rFonts w:ascii="Arial" w:hAnsi="Arial" w:cs="Arial"/>
          <w:color w:val="000000" w:themeColor="text1"/>
          <w:sz w:val="24"/>
          <w:szCs w:val="24"/>
        </w:rPr>
        <w:t>.</w:t>
      </w:r>
    </w:p>
    <w:p w:rsidR="00A70A12" w:rsidRDefault="00A70A12" w:rsidP="006D4187">
      <w:pPr>
        <w:pStyle w:val="Prrafodelista"/>
        <w:spacing w:after="0" w:line="264" w:lineRule="auto"/>
        <w:ind w:left="0"/>
        <w:jc w:val="both"/>
        <w:rPr>
          <w:rFonts w:ascii="Arial" w:hAnsi="Arial" w:cs="Arial"/>
          <w:color w:val="000000" w:themeColor="text1"/>
          <w:sz w:val="24"/>
          <w:szCs w:val="24"/>
        </w:rPr>
      </w:pPr>
    </w:p>
    <w:p w:rsidR="00525A93" w:rsidRDefault="00E51931"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En el mismo sentido, se busca ampliar la </w:t>
      </w:r>
      <w:r w:rsidR="00AD46C5">
        <w:rPr>
          <w:rFonts w:ascii="Arial" w:hAnsi="Arial" w:cs="Arial"/>
          <w:color w:val="000000" w:themeColor="text1"/>
          <w:sz w:val="24"/>
          <w:szCs w:val="24"/>
        </w:rPr>
        <w:t>acción</w:t>
      </w:r>
      <w:r w:rsidR="0073584E">
        <w:rPr>
          <w:rFonts w:ascii="Arial" w:hAnsi="Arial" w:cs="Arial"/>
          <w:color w:val="000000" w:themeColor="text1"/>
          <w:sz w:val="24"/>
          <w:szCs w:val="24"/>
        </w:rPr>
        <w:t xml:space="preserve"> </w:t>
      </w:r>
      <w:r>
        <w:rPr>
          <w:rFonts w:ascii="Arial" w:hAnsi="Arial" w:cs="Arial"/>
          <w:color w:val="000000" w:themeColor="text1"/>
          <w:sz w:val="24"/>
          <w:szCs w:val="24"/>
        </w:rPr>
        <w:t>disciplinaria</w:t>
      </w:r>
      <w:r w:rsidR="0073584E">
        <w:rPr>
          <w:rFonts w:ascii="Arial" w:hAnsi="Arial" w:cs="Arial"/>
          <w:color w:val="000000" w:themeColor="text1"/>
          <w:sz w:val="24"/>
          <w:szCs w:val="24"/>
        </w:rPr>
        <w:t xml:space="preserve"> </w:t>
      </w:r>
      <w:r>
        <w:rPr>
          <w:rFonts w:ascii="Arial" w:hAnsi="Arial" w:cs="Arial"/>
          <w:color w:val="000000" w:themeColor="text1"/>
          <w:sz w:val="24"/>
          <w:szCs w:val="24"/>
        </w:rPr>
        <w:t xml:space="preserve">a </w:t>
      </w:r>
      <w:r w:rsidR="0073584E">
        <w:rPr>
          <w:rFonts w:ascii="Arial" w:hAnsi="Arial" w:cs="Arial"/>
          <w:color w:val="000000" w:themeColor="text1"/>
          <w:sz w:val="24"/>
          <w:szCs w:val="24"/>
        </w:rPr>
        <w:t>los exrepresentantes lega</w:t>
      </w:r>
      <w:r w:rsidR="00607F6A">
        <w:rPr>
          <w:rFonts w:ascii="Arial" w:hAnsi="Arial" w:cs="Arial"/>
          <w:color w:val="000000" w:themeColor="text1"/>
          <w:sz w:val="24"/>
          <w:szCs w:val="24"/>
        </w:rPr>
        <w:t>les o</w:t>
      </w:r>
      <w:r w:rsidR="0073584E">
        <w:rPr>
          <w:rFonts w:ascii="Arial" w:hAnsi="Arial" w:cs="Arial"/>
          <w:color w:val="000000" w:themeColor="text1"/>
          <w:sz w:val="24"/>
          <w:szCs w:val="24"/>
        </w:rPr>
        <w:t xml:space="preserve"> ex ordenadores del gasto que al momento de la presentación de la </w:t>
      </w:r>
      <w:r w:rsidR="00AD46C5">
        <w:rPr>
          <w:rFonts w:ascii="Arial" w:hAnsi="Arial" w:cs="Arial"/>
          <w:color w:val="000000" w:themeColor="text1"/>
          <w:sz w:val="24"/>
          <w:szCs w:val="24"/>
        </w:rPr>
        <w:t>auditoria de</w:t>
      </w:r>
      <w:r w:rsidR="0073584E">
        <w:rPr>
          <w:rFonts w:ascii="Arial" w:hAnsi="Arial" w:cs="Arial"/>
          <w:color w:val="000000" w:themeColor="text1"/>
          <w:sz w:val="24"/>
          <w:szCs w:val="24"/>
        </w:rPr>
        <w:t xml:space="preserve"> balance </w:t>
      </w:r>
      <w:r w:rsidR="00AD46C5">
        <w:rPr>
          <w:rFonts w:ascii="Arial" w:hAnsi="Arial" w:cs="Arial"/>
          <w:color w:val="000000" w:themeColor="text1"/>
          <w:sz w:val="24"/>
          <w:szCs w:val="24"/>
        </w:rPr>
        <w:t xml:space="preserve">general tenían a su </w:t>
      </w:r>
      <w:r w:rsidR="00AD46C5" w:rsidRPr="00AD46C5">
        <w:rPr>
          <w:rFonts w:ascii="Arial" w:hAnsi="Arial" w:cs="Arial"/>
          <w:color w:val="000000" w:themeColor="text1"/>
          <w:sz w:val="24"/>
          <w:szCs w:val="24"/>
        </w:rPr>
        <w:t>cargo el fenecimiento de las cuentas fiscales durante</w:t>
      </w:r>
      <w:r w:rsidR="00AD46C5">
        <w:rPr>
          <w:rFonts w:ascii="Arial" w:hAnsi="Arial" w:cs="Arial"/>
          <w:color w:val="000000" w:themeColor="text1"/>
          <w:sz w:val="24"/>
          <w:szCs w:val="24"/>
        </w:rPr>
        <w:t xml:space="preserve"> las dos </w:t>
      </w:r>
      <w:r w:rsidR="00AD46C5" w:rsidRPr="00AD46C5">
        <w:rPr>
          <w:rFonts w:ascii="Arial" w:hAnsi="Arial" w:cs="Arial"/>
          <w:color w:val="000000" w:themeColor="text1"/>
          <w:sz w:val="24"/>
          <w:szCs w:val="24"/>
        </w:rPr>
        <w:t>últimas v</w:t>
      </w:r>
      <w:r>
        <w:rPr>
          <w:rFonts w:ascii="Arial" w:hAnsi="Arial" w:cs="Arial"/>
          <w:color w:val="000000" w:themeColor="text1"/>
          <w:sz w:val="24"/>
          <w:szCs w:val="24"/>
        </w:rPr>
        <w:t xml:space="preserve">igencias consecutivas, lo cual corrobora que el sentido de esta adición se encamina a investigar al funcionario que con ocasión </w:t>
      </w:r>
      <w:r w:rsidR="00297AD1">
        <w:rPr>
          <w:rFonts w:ascii="Arial" w:hAnsi="Arial" w:cs="Arial"/>
          <w:color w:val="000000" w:themeColor="text1"/>
          <w:sz w:val="24"/>
          <w:szCs w:val="24"/>
        </w:rPr>
        <w:t>a su cargo de cuidad</w:t>
      </w:r>
      <w:r w:rsidR="007B6999">
        <w:rPr>
          <w:rFonts w:ascii="Arial" w:hAnsi="Arial" w:cs="Arial"/>
          <w:color w:val="000000" w:themeColor="text1"/>
          <w:sz w:val="24"/>
          <w:szCs w:val="24"/>
        </w:rPr>
        <w:t>o</w:t>
      </w:r>
      <w:r w:rsidR="00297AD1">
        <w:rPr>
          <w:rFonts w:ascii="Arial" w:hAnsi="Arial" w:cs="Arial"/>
          <w:color w:val="000000" w:themeColor="text1"/>
          <w:sz w:val="24"/>
          <w:szCs w:val="24"/>
        </w:rPr>
        <w:t xml:space="preserve"> y manejo </w:t>
      </w:r>
      <w:r>
        <w:rPr>
          <w:rFonts w:ascii="Arial" w:hAnsi="Arial" w:cs="Arial"/>
          <w:color w:val="000000" w:themeColor="text1"/>
          <w:sz w:val="24"/>
          <w:szCs w:val="24"/>
        </w:rPr>
        <w:t>del erario público</w:t>
      </w:r>
      <w:r w:rsidRPr="00D72A63">
        <w:rPr>
          <w:rFonts w:ascii="Arial" w:hAnsi="Arial" w:cs="Arial"/>
          <w:color w:val="000000" w:themeColor="text1"/>
          <w:sz w:val="24"/>
          <w:szCs w:val="24"/>
        </w:rPr>
        <w:t xml:space="preserve">, incurra en una desatención elemental </w:t>
      </w:r>
      <w:r w:rsidR="00297AD1" w:rsidRPr="00D72A63">
        <w:rPr>
          <w:rFonts w:ascii="Arial" w:hAnsi="Arial" w:cs="Arial"/>
          <w:color w:val="000000" w:themeColor="text1"/>
          <w:sz w:val="24"/>
          <w:szCs w:val="24"/>
        </w:rPr>
        <w:t>al deber objetivo de cuidado, aun cuand</w:t>
      </w:r>
      <w:r w:rsidR="00297AD1">
        <w:rPr>
          <w:rFonts w:ascii="Arial" w:hAnsi="Arial" w:cs="Arial"/>
          <w:color w:val="000000" w:themeColor="text1"/>
          <w:sz w:val="24"/>
          <w:szCs w:val="24"/>
        </w:rPr>
        <w:t xml:space="preserve">o ya no se encuentre en el ejercicio de dichas funciones, siempre y cuando </w:t>
      </w:r>
      <w:r w:rsidR="009000C7">
        <w:rPr>
          <w:rFonts w:ascii="Arial" w:hAnsi="Arial" w:cs="Arial"/>
          <w:color w:val="000000" w:themeColor="text1"/>
          <w:sz w:val="24"/>
          <w:szCs w:val="24"/>
        </w:rPr>
        <w:t>se allá demostrado s</w:t>
      </w:r>
      <w:r w:rsidR="00EF33B5">
        <w:rPr>
          <w:rFonts w:ascii="Arial" w:hAnsi="Arial" w:cs="Arial"/>
          <w:color w:val="000000" w:themeColor="text1"/>
          <w:sz w:val="24"/>
          <w:szCs w:val="24"/>
        </w:rPr>
        <w:t>u</w:t>
      </w:r>
      <w:r w:rsidR="009000C7">
        <w:rPr>
          <w:rFonts w:ascii="Arial" w:hAnsi="Arial" w:cs="Arial"/>
          <w:color w:val="000000" w:themeColor="text1"/>
          <w:sz w:val="24"/>
          <w:szCs w:val="24"/>
        </w:rPr>
        <w:t xml:space="preserve"> omisión en </w:t>
      </w:r>
      <w:r w:rsidR="00EF33B5">
        <w:rPr>
          <w:rFonts w:ascii="Arial" w:hAnsi="Arial" w:cs="Arial"/>
          <w:color w:val="000000" w:themeColor="text1"/>
          <w:sz w:val="24"/>
          <w:szCs w:val="24"/>
        </w:rPr>
        <w:t xml:space="preserve">el </w:t>
      </w:r>
      <w:r w:rsidR="009000C7">
        <w:rPr>
          <w:rFonts w:ascii="Arial" w:hAnsi="Arial" w:cs="Arial"/>
          <w:color w:val="000000" w:themeColor="text1"/>
          <w:sz w:val="24"/>
          <w:szCs w:val="24"/>
        </w:rPr>
        <w:t xml:space="preserve">trámite de depurar la cuenta fiscal </w:t>
      </w:r>
      <w:r w:rsidR="00370777">
        <w:rPr>
          <w:rFonts w:ascii="Arial" w:hAnsi="Arial" w:cs="Arial"/>
          <w:color w:val="000000" w:themeColor="text1"/>
          <w:sz w:val="24"/>
          <w:szCs w:val="24"/>
        </w:rPr>
        <w:t xml:space="preserve">en dos </w:t>
      </w:r>
      <w:r w:rsidR="009000C7">
        <w:rPr>
          <w:rFonts w:ascii="Arial" w:hAnsi="Arial" w:cs="Arial"/>
          <w:color w:val="000000" w:themeColor="text1"/>
          <w:sz w:val="24"/>
          <w:szCs w:val="24"/>
        </w:rPr>
        <w:t>periodos</w:t>
      </w:r>
      <w:r w:rsidR="00370777">
        <w:rPr>
          <w:rFonts w:ascii="Arial" w:hAnsi="Arial" w:cs="Arial"/>
          <w:color w:val="000000" w:themeColor="text1"/>
          <w:sz w:val="24"/>
          <w:szCs w:val="24"/>
        </w:rPr>
        <w:t xml:space="preserve"> consecutivos</w:t>
      </w:r>
      <w:r w:rsidR="009000C7">
        <w:rPr>
          <w:rFonts w:ascii="Arial" w:hAnsi="Arial" w:cs="Arial"/>
          <w:color w:val="000000" w:themeColor="text1"/>
          <w:sz w:val="24"/>
          <w:szCs w:val="24"/>
        </w:rPr>
        <w:t>.</w:t>
      </w:r>
    </w:p>
    <w:p w:rsidR="00BB09EB" w:rsidRDefault="00E9017C" w:rsidP="00E9017C">
      <w:pPr>
        <w:spacing w:after="0" w:line="264" w:lineRule="auto"/>
        <w:jc w:val="both"/>
        <w:rPr>
          <w:rFonts w:ascii="Arial" w:hAnsi="Arial" w:cs="Arial"/>
          <w:color w:val="000000" w:themeColor="text1"/>
          <w:sz w:val="24"/>
          <w:szCs w:val="24"/>
        </w:rPr>
      </w:pPr>
      <w:r w:rsidRPr="00E9017C">
        <w:rPr>
          <w:rFonts w:ascii="Arial" w:hAnsi="Arial" w:cs="Arial"/>
          <w:color w:val="000000" w:themeColor="text1"/>
          <w:sz w:val="24"/>
          <w:szCs w:val="24"/>
        </w:rPr>
        <w:lastRenderedPageBreak/>
        <w:t xml:space="preserve">Por lo tanto, vale la pena precisar que bajo ninguna premisa resulta admisible ampliar </w:t>
      </w:r>
      <w:r w:rsidR="00BB09EB">
        <w:rPr>
          <w:rFonts w:ascii="Arial" w:hAnsi="Arial" w:cs="Arial"/>
          <w:color w:val="000000" w:themeColor="text1"/>
          <w:sz w:val="24"/>
          <w:szCs w:val="24"/>
        </w:rPr>
        <w:t xml:space="preserve">la órbita de regulación de la conducta que se pretende incluir en el decálogo de deberes de la norma adjetiva disciplinaria, a todos los funcionarios </w:t>
      </w:r>
      <w:r w:rsidR="00BB09EB" w:rsidRPr="00F23F51">
        <w:rPr>
          <w:rFonts w:ascii="Arial" w:hAnsi="Arial" w:cs="Arial"/>
          <w:color w:val="000000" w:themeColor="text1"/>
          <w:sz w:val="24"/>
          <w:szCs w:val="24"/>
        </w:rPr>
        <w:t>del nivel nacional y territorial</w:t>
      </w:r>
      <w:r w:rsidR="009E0E5C">
        <w:rPr>
          <w:rFonts w:ascii="Arial" w:hAnsi="Arial" w:cs="Arial"/>
          <w:color w:val="000000" w:themeColor="text1"/>
          <w:sz w:val="24"/>
          <w:szCs w:val="24"/>
        </w:rPr>
        <w:t>,</w:t>
      </w:r>
      <w:r w:rsidR="00BB09EB" w:rsidRPr="00F23F51">
        <w:rPr>
          <w:rFonts w:ascii="Arial" w:hAnsi="Arial" w:cs="Arial"/>
          <w:color w:val="000000" w:themeColor="text1"/>
          <w:sz w:val="24"/>
          <w:szCs w:val="24"/>
        </w:rPr>
        <w:t xml:space="preserve"> de planta, provisionales, contratistas e interventores de la entidad, que de alguna manera </w:t>
      </w:r>
      <w:r w:rsidR="00BB09EB">
        <w:rPr>
          <w:rFonts w:ascii="Arial" w:hAnsi="Arial" w:cs="Arial"/>
          <w:color w:val="000000" w:themeColor="text1"/>
          <w:sz w:val="24"/>
          <w:szCs w:val="24"/>
        </w:rPr>
        <w:t>intervengan</w:t>
      </w:r>
      <w:r w:rsidR="00BB09EB" w:rsidRPr="00F23F51">
        <w:rPr>
          <w:rFonts w:ascii="Arial" w:hAnsi="Arial" w:cs="Arial"/>
          <w:color w:val="000000" w:themeColor="text1"/>
          <w:sz w:val="24"/>
          <w:szCs w:val="24"/>
        </w:rPr>
        <w:t xml:space="preserve"> en el proceso contable</w:t>
      </w:r>
      <w:r w:rsidR="00BB09EB">
        <w:rPr>
          <w:rFonts w:ascii="Arial" w:hAnsi="Arial" w:cs="Arial"/>
          <w:color w:val="000000" w:themeColor="text1"/>
          <w:sz w:val="24"/>
          <w:szCs w:val="24"/>
        </w:rPr>
        <w:t xml:space="preserve"> o sus procesos fuentes, toda vez que dicha atribución le </w:t>
      </w:r>
      <w:r w:rsidR="00370777">
        <w:rPr>
          <w:rFonts w:ascii="Arial" w:hAnsi="Arial" w:cs="Arial"/>
          <w:color w:val="000000" w:themeColor="text1"/>
          <w:sz w:val="24"/>
          <w:szCs w:val="24"/>
        </w:rPr>
        <w:t>son</w:t>
      </w:r>
      <w:r w:rsidR="00BB09EB">
        <w:rPr>
          <w:rFonts w:ascii="Arial" w:hAnsi="Arial" w:cs="Arial"/>
          <w:color w:val="000000" w:themeColor="text1"/>
          <w:sz w:val="24"/>
          <w:szCs w:val="24"/>
        </w:rPr>
        <w:t xml:space="preserve"> conferida</w:t>
      </w:r>
      <w:r w:rsidR="00370777">
        <w:rPr>
          <w:rFonts w:ascii="Arial" w:hAnsi="Arial" w:cs="Arial"/>
          <w:color w:val="000000" w:themeColor="text1"/>
          <w:sz w:val="24"/>
          <w:szCs w:val="24"/>
        </w:rPr>
        <w:t>s</w:t>
      </w:r>
      <w:r w:rsidR="00BB09EB">
        <w:rPr>
          <w:rFonts w:ascii="Arial" w:hAnsi="Arial" w:cs="Arial"/>
          <w:color w:val="000000" w:themeColor="text1"/>
          <w:sz w:val="24"/>
          <w:szCs w:val="24"/>
        </w:rPr>
        <w:t xml:space="preserve"> al representante legal u ordenador</w:t>
      </w:r>
      <w:r w:rsidR="000F59E6">
        <w:rPr>
          <w:rFonts w:ascii="Arial" w:hAnsi="Arial" w:cs="Arial"/>
          <w:color w:val="000000" w:themeColor="text1"/>
          <w:sz w:val="24"/>
          <w:szCs w:val="24"/>
        </w:rPr>
        <w:t xml:space="preserve"> del gasto o al que se delegue o</w:t>
      </w:r>
      <w:r w:rsidR="00BB09EB">
        <w:rPr>
          <w:rFonts w:ascii="Arial" w:hAnsi="Arial" w:cs="Arial"/>
          <w:color w:val="000000" w:themeColor="text1"/>
          <w:sz w:val="24"/>
          <w:szCs w:val="24"/>
        </w:rPr>
        <w:t xml:space="preserve"> haga sus veces, lo que corresponde    </w:t>
      </w:r>
      <w:r w:rsidRPr="00E9017C">
        <w:rPr>
          <w:rFonts w:ascii="Arial" w:hAnsi="Arial" w:cs="Arial"/>
          <w:color w:val="000000" w:themeColor="text1"/>
          <w:sz w:val="24"/>
          <w:szCs w:val="24"/>
        </w:rPr>
        <w:t xml:space="preserve">como diligencia exigible </w:t>
      </w:r>
      <w:r w:rsidR="009E0E5C">
        <w:rPr>
          <w:rFonts w:ascii="Arial" w:hAnsi="Arial" w:cs="Arial"/>
          <w:color w:val="000000" w:themeColor="text1"/>
          <w:sz w:val="24"/>
          <w:szCs w:val="24"/>
        </w:rPr>
        <w:t xml:space="preserve">acreditar </w:t>
      </w:r>
      <w:r w:rsidR="00BB09EB">
        <w:rPr>
          <w:rFonts w:ascii="Arial" w:hAnsi="Arial" w:cs="Arial"/>
          <w:color w:val="000000" w:themeColor="text1"/>
          <w:sz w:val="24"/>
          <w:szCs w:val="24"/>
        </w:rPr>
        <w:t xml:space="preserve">únicamente a un agente calificado, del que se predica </w:t>
      </w:r>
      <w:r w:rsidR="000F59E6">
        <w:rPr>
          <w:rFonts w:ascii="Arial" w:hAnsi="Arial" w:cs="Arial"/>
          <w:color w:val="000000" w:themeColor="text1"/>
          <w:sz w:val="24"/>
          <w:szCs w:val="24"/>
        </w:rPr>
        <w:t xml:space="preserve">no solo </w:t>
      </w:r>
      <w:r w:rsidR="00BB09EB">
        <w:rPr>
          <w:rFonts w:ascii="Arial" w:hAnsi="Arial" w:cs="Arial"/>
          <w:color w:val="000000" w:themeColor="text1"/>
          <w:sz w:val="24"/>
          <w:szCs w:val="24"/>
        </w:rPr>
        <w:t xml:space="preserve">un comportamiento razonable y sensato </w:t>
      </w:r>
      <w:r w:rsidR="00370777">
        <w:rPr>
          <w:rFonts w:ascii="Arial" w:hAnsi="Arial" w:cs="Arial"/>
          <w:color w:val="000000" w:themeColor="text1"/>
          <w:sz w:val="24"/>
          <w:szCs w:val="24"/>
        </w:rPr>
        <w:t xml:space="preserve">del que </w:t>
      </w:r>
      <w:r w:rsidR="000F59E6">
        <w:rPr>
          <w:rFonts w:ascii="Arial" w:hAnsi="Arial" w:cs="Arial"/>
          <w:color w:val="000000" w:themeColor="text1"/>
          <w:sz w:val="24"/>
          <w:szCs w:val="24"/>
        </w:rPr>
        <w:t xml:space="preserve">cualquier persona del común le imprime a sus actuaciones, sino del deber de instruirse a efectos de desempeñar la labor encomendada. </w:t>
      </w:r>
    </w:p>
    <w:p w:rsidR="00BB09EB" w:rsidRDefault="00BB09EB" w:rsidP="00E9017C">
      <w:pPr>
        <w:spacing w:after="0" w:line="264" w:lineRule="auto"/>
        <w:jc w:val="both"/>
        <w:rPr>
          <w:rFonts w:ascii="Arial" w:hAnsi="Arial" w:cs="Arial"/>
          <w:color w:val="000000" w:themeColor="text1"/>
          <w:sz w:val="24"/>
          <w:szCs w:val="24"/>
        </w:rPr>
      </w:pPr>
    </w:p>
    <w:p w:rsidR="000F59E6" w:rsidRDefault="000F59E6" w:rsidP="00E9017C">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 xml:space="preserve">Sobre el particular, resulta oportuno traer a colación lo manifestado por la Corte Constitucional, la que de </w:t>
      </w:r>
      <w:r w:rsidR="00370777">
        <w:rPr>
          <w:rFonts w:ascii="Arial" w:hAnsi="Arial" w:cs="Arial"/>
          <w:color w:val="000000" w:themeColor="text1"/>
          <w:sz w:val="24"/>
          <w:szCs w:val="24"/>
        </w:rPr>
        <w:t xml:space="preserve">forma </w:t>
      </w:r>
      <w:r>
        <w:rPr>
          <w:rFonts w:ascii="Arial" w:hAnsi="Arial" w:cs="Arial"/>
          <w:color w:val="000000" w:themeColor="text1"/>
          <w:sz w:val="24"/>
          <w:szCs w:val="24"/>
        </w:rPr>
        <w:t>concreta se refirió al concepto de culpa en materia disciplinaria, al precisar que:</w:t>
      </w:r>
    </w:p>
    <w:p w:rsidR="000F59E6" w:rsidRDefault="000F59E6" w:rsidP="00E9017C">
      <w:pPr>
        <w:spacing w:after="0" w:line="264" w:lineRule="auto"/>
        <w:jc w:val="both"/>
        <w:rPr>
          <w:rFonts w:ascii="Arial" w:hAnsi="Arial" w:cs="Arial"/>
          <w:color w:val="000000" w:themeColor="text1"/>
          <w:sz w:val="24"/>
          <w:szCs w:val="24"/>
        </w:rPr>
      </w:pPr>
    </w:p>
    <w:p w:rsidR="000F59E6" w:rsidRPr="0002170B" w:rsidRDefault="000F59E6" w:rsidP="00E9017C">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 xml:space="preserve">“Al respecto la Corte señala que dado que el principal derrotero que guía la aplicación de las normas disciplinarias es el normal y correcto funcionamiento de la gestión pública, en nada resulta incompatible con dicha finalidad - por el contrario, la secunda y favorece- que el Estado imponga a sus servidores un deber general de cuidado, diligencia y corrección en el desempeño de sus funciones que, además, pueda ser sancionable por incumplimiento. Visto que los servidores públicos son responsables ante la ley, no sólo por quebrantarla, sino por omisión o extralimitación en ejercicio de las mismas, resulta legítimamente admisible que el Estado, a través del sistema disciplinario, imponga sanciones a aquellos que no cumplen, con el esmero requerido, las obligaciones asignadas por la normatividad”. </w:t>
      </w:r>
    </w:p>
    <w:p w:rsidR="000F59E6" w:rsidRPr="0002170B" w:rsidRDefault="000F59E6" w:rsidP="00E9017C">
      <w:pPr>
        <w:spacing w:after="0" w:line="264" w:lineRule="auto"/>
        <w:jc w:val="both"/>
        <w:rPr>
          <w:rFonts w:ascii="Arial" w:hAnsi="Arial" w:cs="Arial"/>
          <w:i/>
          <w:color w:val="000000" w:themeColor="text1"/>
          <w:sz w:val="24"/>
          <w:szCs w:val="24"/>
        </w:rPr>
      </w:pPr>
    </w:p>
    <w:p w:rsidR="000F59E6" w:rsidRPr="0002170B" w:rsidRDefault="000F59E6" w:rsidP="00E9017C">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 xml:space="preserve">“Obsérvese que se considera culpa gravísima en primer término la ignorancia supina, que define el diccionario de la lengua de la Real Academia Española como “la que procede de negligencia en aprender o inquirir lo que puede y debe saberse”. Es decir que se considera como culpa gravísima la negligencia del servidor que pese a tener el deber de instruirse a efectos de desempeñar a la labor encomendada decide no hacerlo.” </w:t>
      </w:r>
    </w:p>
    <w:p w:rsidR="000F59E6" w:rsidRPr="0002170B" w:rsidRDefault="000F59E6" w:rsidP="00E9017C">
      <w:pPr>
        <w:spacing w:after="0" w:line="264" w:lineRule="auto"/>
        <w:jc w:val="both"/>
        <w:rPr>
          <w:rFonts w:ascii="Arial" w:hAnsi="Arial" w:cs="Arial"/>
          <w:i/>
          <w:color w:val="000000" w:themeColor="text1"/>
          <w:sz w:val="24"/>
          <w:szCs w:val="24"/>
        </w:rPr>
      </w:pPr>
    </w:p>
    <w:p w:rsidR="000F59E6" w:rsidRPr="0002170B" w:rsidRDefault="000F59E6" w:rsidP="00E9017C">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“Otro tanto puede decirse de la definición de culpa grave en la que se incurre por inobservancia del cuidado necesario que cualquier persona del común imprime a sus actuaciones, conducta que no es la que corresponde esperar de una persona que ejerce funciones públicas a quien, por lo demás, se le exige un particular nivel de responsabilidad (</w:t>
      </w:r>
      <w:proofErr w:type="spellStart"/>
      <w:r w:rsidRPr="0002170B">
        <w:rPr>
          <w:rFonts w:ascii="Arial" w:hAnsi="Arial" w:cs="Arial"/>
          <w:i/>
          <w:color w:val="000000" w:themeColor="text1"/>
          <w:sz w:val="24"/>
          <w:szCs w:val="24"/>
        </w:rPr>
        <w:t>arts</w:t>
      </w:r>
      <w:proofErr w:type="spellEnd"/>
      <w:r w:rsidRPr="0002170B">
        <w:rPr>
          <w:rFonts w:ascii="Arial" w:hAnsi="Arial" w:cs="Arial"/>
          <w:i/>
          <w:color w:val="000000" w:themeColor="text1"/>
          <w:sz w:val="24"/>
          <w:szCs w:val="24"/>
        </w:rPr>
        <w:t xml:space="preserve"> 6 y 123 C.P).”</w:t>
      </w:r>
    </w:p>
    <w:p w:rsidR="000F59E6" w:rsidRDefault="000F59E6" w:rsidP="00E9017C">
      <w:pPr>
        <w:spacing w:after="0" w:line="264" w:lineRule="auto"/>
        <w:jc w:val="both"/>
        <w:rPr>
          <w:rFonts w:ascii="Arial" w:hAnsi="Arial" w:cs="Arial"/>
          <w:color w:val="000000" w:themeColor="text1"/>
          <w:sz w:val="24"/>
          <w:szCs w:val="24"/>
        </w:rPr>
      </w:pPr>
    </w:p>
    <w:p w:rsidR="006754E1" w:rsidRDefault="006754E1" w:rsidP="00E9017C">
      <w:pPr>
        <w:spacing w:after="0" w:line="264" w:lineRule="auto"/>
        <w:jc w:val="both"/>
        <w:rPr>
          <w:rFonts w:ascii="Arial" w:hAnsi="Arial" w:cs="Arial"/>
          <w:i/>
          <w:color w:val="000000" w:themeColor="text1"/>
          <w:sz w:val="24"/>
          <w:szCs w:val="24"/>
        </w:rPr>
      </w:pPr>
    </w:p>
    <w:p w:rsidR="001050B1" w:rsidRPr="001050B1" w:rsidRDefault="001050B1" w:rsidP="00E9017C">
      <w:pPr>
        <w:spacing w:after="0" w:line="264" w:lineRule="auto"/>
        <w:jc w:val="both"/>
        <w:rPr>
          <w:rFonts w:ascii="Arial" w:hAnsi="Arial" w:cs="Arial"/>
          <w:i/>
          <w:color w:val="000000" w:themeColor="text1"/>
          <w:sz w:val="24"/>
          <w:szCs w:val="24"/>
        </w:rPr>
      </w:pPr>
      <w:r w:rsidRPr="001050B1">
        <w:rPr>
          <w:rFonts w:ascii="Arial" w:hAnsi="Arial" w:cs="Arial"/>
          <w:i/>
          <w:color w:val="000000" w:themeColor="text1"/>
          <w:sz w:val="24"/>
          <w:szCs w:val="24"/>
        </w:rPr>
        <w:t>“Así las cosas lo que el actor considera elementos objetivos externos a las definiciones de culpa gravísima y de la culpa grave, son pura y simplemente la aplicación en este campo de la identidad propia del concepto de culpa en materia disciplinaria basada en la diligencia exigible a quien ejerce funciones públicas. Aplicación que no puede considerarse ajena a la conciencia del servidor público obligado a conocer y cumplir sus deberes funcionales.</w:t>
      </w:r>
      <w:r>
        <w:rPr>
          <w:rStyle w:val="Refdenotaalpie"/>
          <w:rFonts w:ascii="Arial" w:hAnsi="Arial" w:cs="Arial"/>
          <w:i/>
          <w:color w:val="000000" w:themeColor="text1"/>
          <w:sz w:val="24"/>
          <w:szCs w:val="24"/>
        </w:rPr>
        <w:footnoteReference w:id="1"/>
      </w:r>
      <w:r w:rsidRPr="001050B1">
        <w:rPr>
          <w:rFonts w:ascii="Arial" w:hAnsi="Arial" w:cs="Arial"/>
          <w:i/>
          <w:color w:val="000000" w:themeColor="text1"/>
          <w:sz w:val="24"/>
          <w:szCs w:val="24"/>
        </w:rPr>
        <w:t>”</w:t>
      </w:r>
    </w:p>
    <w:p w:rsidR="000F59E6" w:rsidRDefault="000F59E6" w:rsidP="00E9017C">
      <w:pPr>
        <w:spacing w:after="0" w:line="264" w:lineRule="auto"/>
        <w:jc w:val="both"/>
        <w:rPr>
          <w:rFonts w:ascii="Arial" w:hAnsi="Arial" w:cs="Arial"/>
          <w:color w:val="000000" w:themeColor="text1"/>
          <w:sz w:val="24"/>
          <w:szCs w:val="24"/>
        </w:rPr>
      </w:pPr>
    </w:p>
    <w:p w:rsidR="00EC29C1" w:rsidRDefault="00B003CA"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Ahora bien, </w:t>
      </w:r>
      <w:r w:rsidR="00D56B70">
        <w:rPr>
          <w:rFonts w:ascii="Arial" w:hAnsi="Arial" w:cs="Arial"/>
          <w:color w:val="000000" w:themeColor="text1"/>
          <w:sz w:val="24"/>
          <w:szCs w:val="24"/>
        </w:rPr>
        <w:t>sobre la necesidad de configurar en el texto normativo, el posible vacío legal que se pueda presentar al momento de</w:t>
      </w:r>
      <w:r w:rsidR="00EC29C1">
        <w:rPr>
          <w:rFonts w:ascii="Arial" w:hAnsi="Arial" w:cs="Arial"/>
          <w:color w:val="000000" w:themeColor="text1"/>
          <w:sz w:val="24"/>
          <w:szCs w:val="24"/>
        </w:rPr>
        <w:t xml:space="preserve"> su</w:t>
      </w:r>
      <w:r w:rsidR="006875B2">
        <w:rPr>
          <w:rFonts w:ascii="Arial" w:hAnsi="Arial" w:cs="Arial"/>
          <w:color w:val="000000" w:themeColor="text1"/>
          <w:sz w:val="24"/>
          <w:szCs w:val="24"/>
        </w:rPr>
        <w:t xml:space="preserve"> aplicación, cuando</w:t>
      </w:r>
      <w:r w:rsidR="00D56B70">
        <w:rPr>
          <w:rFonts w:ascii="Arial" w:hAnsi="Arial" w:cs="Arial"/>
          <w:color w:val="000000" w:themeColor="text1"/>
          <w:sz w:val="24"/>
          <w:szCs w:val="24"/>
        </w:rPr>
        <w:t xml:space="preserve"> se presente la situación donde se verifique que dentro de las dos vigencias fiscales, </w:t>
      </w:r>
      <w:r w:rsidR="00701D16">
        <w:rPr>
          <w:rFonts w:ascii="Arial" w:hAnsi="Arial" w:cs="Arial"/>
          <w:color w:val="000000" w:themeColor="text1"/>
          <w:sz w:val="24"/>
          <w:szCs w:val="24"/>
        </w:rPr>
        <w:t xml:space="preserve">en que se dictamine negación o abstención de opinión por parte del ente fiscal, a </w:t>
      </w:r>
      <w:r w:rsidR="00D56B70">
        <w:rPr>
          <w:rFonts w:ascii="Arial" w:hAnsi="Arial" w:cs="Arial"/>
          <w:color w:val="000000" w:themeColor="text1"/>
          <w:sz w:val="24"/>
          <w:szCs w:val="24"/>
        </w:rPr>
        <w:t xml:space="preserve">las cuentas </w:t>
      </w:r>
      <w:r w:rsidR="00701D16">
        <w:rPr>
          <w:rFonts w:ascii="Arial" w:hAnsi="Arial" w:cs="Arial"/>
          <w:color w:val="000000" w:themeColor="text1"/>
          <w:sz w:val="24"/>
          <w:szCs w:val="24"/>
        </w:rPr>
        <w:t>de las entidades objeto de control, en las que se encuentre involucrados dos o más sujetos disciplinables en dicho lapso</w:t>
      </w:r>
      <w:r w:rsidR="00EC29C1">
        <w:rPr>
          <w:rFonts w:ascii="Arial" w:hAnsi="Arial" w:cs="Arial"/>
          <w:color w:val="000000" w:themeColor="text1"/>
          <w:sz w:val="24"/>
          <w:szCs w:val="24"/>
        </w:rPr>
        <w:t xml:space="preserve"> sin que se haya </w:t>
      </w:r>
      <w:r w:rsidR="006754E1">
        <w:rPr>
          <w:rFonts w:ascii="Arial" w:hAnsi="Arial" w:cs="Arial"/>
          <w:color w:val="000000" w:themeColor="text1"/>
          <w:sz w:val="24"/>
          <w:szCs w:val="24"/>
        </w:rPr>
        <w:t>acatado</w:t>
      </w:r>
      <w:r w:rsidR="00EC29C1">
        <w:rPr>
          <w:rFonts w:ascii="Arial" w:hAnsi="Arial" w:cs="Arial"/>
          <w:color w:val="000000" w:themeColor="text1"/>
          <w:sz w:val="24"/>
          <w:szCs w:val="24"/>
        </w:rPr>
        <w:t xml:space="preserve"> el deber funcional </w:t>
      </w:r>
      <w:r w:rsidR="00D56B70">
        <w:rPr>
          <w:rFonts w:ascii="Arial" w:hAnsi="Arial" w:cs="Arial"/>
          <w:color w:val="000000" w:themeColor="text1"/>
          <w:sz w:val="24"/>
          <w:szCs w:val="24"/>
        </w:rPr>
        <w:t>objeto de reproche</w:t>
      </w:r>
      <w:r w:rsidR="00EC29C1">
        <w:rPr>
          <w:rFonts w:ascii="Arial" w:hAnsi="Arial" w:cs="Arial"/>
          <w:color w:val="000000" w:themeColor="text1"/>
          <w:sz w:val="24"/>
          <w:szCs w:val="24"/>
        </w:rPr>
        <w:t xml:space="preserve">. </w:t>
      </w:r>
    </w:p>
    <w:p w:rsidR="00EC29C1" w:rsidRDefault="00EC29C1"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976F45" w:rsidRDefault="00EC29C1"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L</w:t>
      </w:r>
      <w:r w:rsidR="007011D2">
        <w:rPr>
          <w:rFonts w:ascii="Arial" w:hAnsi="Arial" w:cs="Arial"/>
          <w:color w:val="000000" w:themeColor="text1"/>
          <w:sz w:val="24"/>
          <w:szCs w:val="24"/>
        </w:rPr>
        <w:t>o cierto es que la</w:t>
      </w:r>
      <w:r>
        <w:rPr>
          <w:rFonts w:ascii="Arial" w:hAnsi="Arial" w:cs="Arial"/>
          <w:color w:val="000000" w:themeColor="text1"/>
          <w:sz w:val="24"/>
          <w:szCs w:val="24"/>
        </w:rPr>
        <w:t xml:space="preserve"> nueva redacción del texto que se somete a consid</w:t>
      </w:r>
      <w:r w:rsidR="003D61E2">
        <w:rPr>
          <w:rFonts w:ascii="Arial" w:hAnsi="Arial" w:cs="Arial"/>
          <w:color w:val="000000" w:themeColor="text1"/>
          <w:sz w:val="24"/>
          <w:szCs w:val="24"/>
        </w:rPr>
        <w:t xml:space="preserve">eración de la plenaria de la </w:t>
      </w:r>
      <w:r>
        <w:rPr>
          <w:rFonts w:ascii="Arial" w:hAnsi="Arial" w:cs="Arial"/>
          <w:color w:val="000000" w:themeColor="text1"/>
          <w:sz w:val="24"/>
          <w:szCs w:val="24"/>
        </w:rPr>
        <w:t xml:space="preserve">Cámara de Representantes, pretende aclara el asunto, pues </w:t>
      </w:r>
      <w:r w:rsidR="007011D2">
        <w:rPr>
          <w:rFonts w:ascii="Arial" w:hAnsi="Arial" w:cs="Arial"/>
          <w:color w:val="000000" w:themeColor="text1"/>
          <w:sz w:val="24"/>
          <w:szCs w:val="24"/>
        </w:rPr>
        <w:t xml:space="preserve">tal </w:t>
      </w:r>
      <w:r>
        <w:rPr>
          <w:rFonts w:ascii="Arial" w:hAnsi="Arial" w:cs="Arial"/>
          <w:color w:val="000000" w:themeColor="text1"/>
          <w:sz w:val="24"/>
          <w:szCs w:val="24"/>
        </w:rPr>
        <w:t xml:space="preserve">como </w:t>
      </w:r>
      <w:r w:rsidR="007011D2">
        <w:rPr>
          <w:rFonts w:ascii="Arial" w:hAnsi="Arial" w:cs="Arial"/>
          <w:color w:val="000000" w:themeColor="text1"/>
          <w:sz w:val="24"/>
          <w:szCs w:val="24"/>
        </w:rPr>
        <w:t xml:space="preserve">se contempla en </w:t>
      </w:r>
      <w:r w:rsidR="006875B2">
        <w:rPr>
          <w:rFonts w:ascii="Arial" w:hAnsi="Arial" w:cs="Arial"/>
          <w:color w:val="000000" w:themeColor="text1"/>
          <w:sz w:val="24"/>
          <w:szCs w:val="24"/>
        </w:rPr>
        <w:t xml:space="preserve">su </w:t>
      </w:r>
      <w:r>
        <w:rPr>
          <w:rFonts w:ascii="Arial" w:hAnsi="Arial" w:cs="Arial"/>
          <w:color w:val="000000" w:themeColor="text1"/>
          <w:sz w:val="24"/>
          <w:szCs w:val="24"/>
        </w:rPr>
        <w:t>parágrafo</w:t>
      </w:r>
      <w:r w:rsidR="007011D2">
        <w:rPr>
          <w:rFonts w:ascii="Arial" w:hAnsi="Arial" w:cs="Arial"/>
          <w:color w:val="000000" w:themeColor="text1"/>
          <w:sz w:val="24"/>
          <w:szCs w:val="24"/>
        </w:rPr>
        <w:t xml:space="preserve">, será </w:t>
      </w:r>
      <w:r w:rsidR="0055678E">
        <w:rPr>
          <w:rFonts w:ascii="Arial" w:hAnsi="Arial" w:cs="Arial"/>
          <w:color w:val="000000" w:themeColor="text1"/>
          <w:sz w:val="24"/>
          <w:szCs w:val="24"/>
        </w:rPr>
        <w:t xml:space="preserve">parte del </w:t>
      </w:r>
      <w:r w:rsidR="007011D2">
        <w:rPr>
          <w:rFonts w:ascii="Arial" w:hAnsi="Arial" w:cs="Arial"/>
          <w:color w:val="000000" w:themeColor="text1"/>
          <w:sz w:val="24"/>
          <w:szCs w:val="24"/>
        </w:rPr>
        <w:t xml:space="preserve">margen de discrecionalidad del operador disciplinario determinar cuál de los </w:t>
      </w:r>
      <w:r w:rsidR="006875B2">
        <w:rPr>
          <w:rFonts w:ascii="Arial" w:hAnsi="Arial" w:cs="Arial"/>
          <w:color w:val="000000" w:themeColor="text1"/>
          <w:sz w:val="24"/>
          <w:szCs w:val="24"/>
        </w:rPr>
        <w:t xml:space="preserve">sujetos disciplinables vinculados a las entidades </w:t>
      </w:r>
      <w:r w:rsidR="007011D2">
        <w:rPr>
          <w:rFonts w:ascii="Arial" w:hAnsi="Arial" w:cs="Arial"/>
          <w:color w:val="000000" w:themeColor="text1"/>
          <w:sz w:val="24"/>
          <w:szCs w:val="24"/>
        </w:rPr>
        <w:t xml:space="preserve">públicas objeto de control, </w:t>
      </w:r>
      <w:r w:rsidR="0055678E">
        <w:rPr>
          <w:rFonts w:ascii="Arial" w:hAnsi="Arial" w:cs="Arial"/>
          <w:color w:val="000000" w:themeColor="text1"/>
          <w:sz w:val="24"/>
          <w:szCs w:val="24"/>
        </w:rPr>
        <w:t xml:space="preserve">pudieron haber incurrido en mayor medida en la </w:t>
      </w:r>
      <w:r w:rsidR="0055678E" w:rsidRPr="0055678E">
        <w:rPr>
          <w:rFonts w:ascii="Arial" w:hAnsi="Arial" w:cs="Arial"/>
          <w:color w:val="000000" w:themeColor="text1"/>
          <w:sz w:val="24"/>
          <w:szCs w:val="24"/>
        </w:rPr>
        <w:t>inobservancia, descuido o desatención elemental al deber de fenecimiento de las cuentas fiscales</w:t>
      </w:r>
      <w:r w:rsidR="0055678E">
        <w:rPr>
          <w:rFonts w:ascii="Arial" w:hAnsi="Arial" w:cs="Arial"/>
          <w:color w:val="000000" w:themeColor="text1"/>
          <w:sz w:val="24"/>
          <w:szCs w:val="24"/>
        </w:rPr>
        <w:t xml:space="preserve">, si solo si, se verifique </w:t>
      </w:r>
      <w:r w:rsidR="006754E1">
        <w:rPr>
          <w:rFonts w:ascii="Arial" w:hAnsi="Arial" w:cs="Arial"/>
          <w:color w:val="000000" w:themeColor="text1"/>
          <w:sz w:val="24"/>
          <w:szCs w:val="24"/>
        </w:rPr>
        <w:t>la</w:t>
      </w:r>
      <w:r w:rsidR="0055678E">
        <w:rPr>
          <w:rFonts w:ascii="Arial" w:hAnsi="Arial" w:cs="Arial"/>
          <w:color w:val="000000" w:themeColor="text1"/>
          <w:sz w:val="24"/>
          <w:szCs w:val="24"/>
        </w:rPr>
        <w:t xml:space="preserve"> negligencia en dos vigencias fiscales</w:t>
      </w:r>
      <w:r w:rsidR="00976F45">
        <w:rPr>
          <w:rFonts w:ascii="Arial" w:hAnsi="Arial" w:cs="Arial"/>
          <w:color w:val="000000" w:themeColor="text1"/>
          <w:sz w:val="24"/>
          <w:szCs w:val="24"/>
        </w:rPr>
        <w:t xml:space="preserve"> consecutivas. </w:t>
      </w:r>
      <w:r w:rsidR="006875B2">
        <w:rPr>
          <w:rFonts w:ascii="Arial" w:hAnsi="Arial" w:cs="Arial"/>
          <w:color w:val="000000" w:themeColor="text1"/>
          <w:sz w:val="24"/>
          <w:szCs w:val="24"/>
        </w:rPr>
        <w:t>Igualmente</w:t>
      </w:r>
      <w:r w:rsidR="00976F45">
        <w:rPr>
          <w:rFonts w:ascii="Arial" w:hAnsi="Arial" w:cs="Arial"/>
          <w:color w:val="000000" w:themeColor="text1"/>
          <w:sz w:val="24"/>
          <w:szCs w:val="24"/>
        </w:rPr>
        <w:t>, no es oportuno ampliar el margen de configuración del deber funcional, atendiendo a factores de conveniencia, necesidad</w:t>
      </w:r>
      <w:r w:rsidR="006875B2">
        <w:rPr>
          <w:rFonts w:ascii="Arial" w:hAnsi="Arial" w:cs="Arial"/>
          <w:color w:val="000000" w:themeColor="text1"/>
          <w:sz w:val="24"/>
          <w:szCs w:val="24"/>
        </w:rPr>
        <w:t xml:space="preserve"> y proporcionalidad de la falta, por las razones que se indicaron en precedencia.</w:t>
      </w:r>
    </w:p>
    <w:p w:rsidR="00BB09EB" w:rsidRPr="006B404E" w:rsidRDefault="00BB09EB" w:rsidP="006D4187">
      <w:pPr>
        <w:pStyle w:val="Prrafodelista"/>
        <w:spacing w:after="0" w:line="264" w:lineRule="auto"/>
        <w:ind w:left="0"/>
        <w:jc w:val="both"/>
        <w:rPr>
          <w:rFonts w:ascii="Arial" w:hAnsi="Arial" w:cs="Arial"/>
          <w:strike/>
          <w:color w:val="FF0000"/>
          <w:sz w:val="24"/>
          <w:szCs w:val="24"/>
        </w:rPr>
      </w:pPr>
    </w:p>
    <w:p w:rsidR="006754E1" w:rsidRDefault="00DB2EA8"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Así las cosas</w:t>
      </w:r>
      <w:r w:rsidR="006314CE">
        <w:rPr>
          <w:rFonts w:ascii="Arial" w:hAnsi="Arial" w:cs="Arial"/>
          <w:color w:val="000000" w:themeColor="text1"/>
          <w:sz w:val="24"/>
          <w:szCs w:val="24"/>
        </w:rPr>
        <w:t>, e</w:t>
      </w:r>
      <w:r w:rsidR="00991C91">
        <w:rPr>
          <w:rFonts w:ascii="Arial" w:hAnsi="Arial" w:cs="Arial"/>
          <w:color w:val="000000" w:themeColor="text1"/>
          <w:sz w:val="24"/>
          <w:szCs w:val="24"/>
        </w:rPr>
        <w:t xml:space="preserve">l artículo 1° </w:t>
      </w:r>
      <w:r w:rsidR="006314CE">
        <w:rPr>
          <w:rFonts w:ascii="Arial" w:hAnsi="Arial" w:cs="Arial"/>
          <w:color w:val="000000" w:themeColor="text1"/>
          <w:sz w:val="24"/>
          <w:szCs w:val="24"/>
        </w:rPr>
        <w:t>define</w:t>
      </w:r>
      <w:r w:rsidR="00991C91">
        <w:rPr>
          <w:rFonts w:ascii="Arial" w:hAnsi="Arial" w:cs="Arial"/>
          <w:color w:val="000000" w:themeColor="text1"/>
          <w:sz w:val="24"/>
          <w:szCs w:val="24"/>
        </w:rPr>
        <w:t xml:space="preserve"> el objeto del proyecto, el cual </w:t>
      </w:r>
      <w:r w:rsidR="006314CE">
        <w:rPr>
          <w:rFonts w:ascii="Arial" w:hAnsi="Arial" w:cs="Arial"/>
          <w:color w:val="000000" w:themeColor="text1"/>
          <w:sz w:val="24"/>
          <w:szCs w:val="24"/>
        </w:rPr>
        <w:t xml:space="preserve">consiste en </w:t>
      </w:r>
      <w:r w:rsidR="009B56A6">
        <w:rPr>
          <w:rFonts w:ascii="Arial" w:hAnsi="Arial" w:cs="Arial"/>
          <w:color w:val="000000" w:themeColor="text1"/>
          <w:sz w:val="24"/>
          <w:szCs w:val="24"/>
        </w:rPr>
        <w:t xml:space="preserve">incluir </w:t>
      </w:r>
      <w:r w:rsidR="00991C91">
        <w:rPr>
          <w:rFonts w:ascii="Arial" w:hAnsi="Arial" w:cs="Arial"/>
          <w:color w:val="000000" w:themeColor="text1"/>
          <w:sz w:val="24"/>
          <w:szCs w:val="24"/>
        </w:rPr>
        <w:t xml:space="preserve">como </w:t>
      </w:r>
      <w:r w:rsidR="00EF33B5">
        <w:rPr>
          <w:rFonts w:ascii="Arial" w:hAnsi="Arial" w:cs="Arial"/>
          <w:color w:val="000000" w:themeColor="text1"/>
          <w:sz w:val="24"/>
          <w:szCs w:val="24"/>
        </w:rPr>
        <w:t>deber funcional</w:t>
      </w:r>
      <w:r w:rsidR="00781BFD" w:rsidRPr="00781BFD">
        <w:rPr>
          <w:rFonts w:ascii="Arial" w:hAnsi="Arial" w:cs="Arial"/>
          <w:color w:val="000000" w:themeColor="text1"/>
          <w:sz w:val="24"/>
          <w:szCs w:val="24"/>
        </w:rPr>
        <w:t>,</w:t>
      </w:r>
      <w:r w:rsidR="00781BFD">
        <w:rPr>
          <w:rFonts w:ascii="Arial" w:hAnsi="Arial" w:cs="Arial"/>
          <w:color w:val="000000" w:themeColor="text1"/>
          <w:sz w:val="24"/>
          <w:szCs w:val="24"/>
        </w:rPr>
        <w:t xml:space="preserve"> </w:t>
      </w:r>
      <w:r w:rsidR="00EF33B5">
        <w:rPr>
          <w:rFonts w:ascii="Arial" w:hAnsi="Arial" w:cs="Arial"/>
          <w:color w:val="000000" w:themeColor="text1"/>
          <w:sz w:val="24"/>
          <w:szCs w:val="24"/>
        </w:rPr>
        <w:t xml:space="preserve">fenecer las cuentas </w:t>
      </w:r>
      <w:r w:rsidR="009B56A6">
        <w:rPr>
          <w:rFonts w:ascii="Arial" w:hAnsi="Arial" w:cs="Arial"/>
          <w:color w:val="000000" w:themeColor="text1"/>
          <w:sz w:val="24"/>
          <w:szCs w:val="24"/>
        </w:rPr>
        <w:t>que hayan obtenido</w:t>
      </w:r>
      <w:r w:rsidR="00991C91">
        <w:rPr>
          <w:rFonts w:ascii="Arial" w:hAnsi="Arial" w:cs="Arial"/>
          <w:color w:val="000000" w:themeColor="text1"/>
          <w:sz w:val="24"/>
          <w:szCs w:val="24"/>
        </w:rPr>
        <w:t xml:space="preserve"> durante dos vigencias fiscales consecutivas ne</w:t>
      </w:r>
      <w:r w:rsidR="003F7BEC">
        <w:rPr>
          <w:rFonts w:ascii="Arial" w:hAnsi="Arial" w:cs="Arial"/>
          <w:color w:val="000000" w:themeColor="text1"/>
          <w:sz w:val="24"/>
          <w:szCs w:val="24"/>
        </w:rPr>
        <w:t>gación o abstención de opinión de</w:t>
      </w:r>
      <w:r w:rsidR="00991C91">
        <w:rPr>
          <w:rFonts w:ascii="Arial" w:hAnsi="Arial" w:cs="Arial"/>
          <w:color w:val="000000" w:themeColor="text1"/>
          <w:sz w:val="24"/>
          <w:szCs w:val="24"/>
        </w:rPr>
        <w:t xml:space="preserve"> sus estados</w:t>
      </w:r>
      <w:r w:rsidR="00607F6A">
        <w:rPr>
          <w:rFonts w:ascii="Arial" w:hAnsi="Arial" w:cs="Arial"/>
          <w:color w:val="000000" w:themeColor="text1"/>
          <w:sz w:val="24"/>
          <w:szCs w:val="24"/>
        </w:rPr>
        <w:t xml:space="preserve"> financieros</w:t>
      </w:r>
      <w:r w:rsidR="003F7BEC">
        <w:rPr>
          <w:rFonts w:ascii="Arial" w:hAnsi="Arial" w:cs="Arial"/>
          <w:color w:val="000000" w:themeColor="text1"/>
          <w:sz w:val="24"/>
          <w:szCs w:val="24"/>
        </w:rPr>
        <w:t>,</w:t>
      </w:r>
      <w:r w:rsidR="00B62F47" w:rsidRPr="00B62F47">
        <w:t xml:space="preserve"> </w:t>
      </w:r>
      <w:r w:rsidR="00B62F47" w:rsidRPr="00B62F47">
        <w:rPr>
          <w:rFonts w:ascii="Arial" w:hAnsi="Arial" w:cs="Arial"/>
          <w:color w:val="000000" w:themeColor="text1"/>
          <w:sz w:val="24"/>
          <w:szCs w:val="24"/>
        </w:rPr>
        <w:t>por la Contraloría General de la República en ejercicio del Control Fiscal</w:t>
      </w:r>
      <w:r w:rsidR="00B62F47">
        <w:rPr>
          <w:rFonts w:ascii="Arial" w:hAnsi="Arial" w:cs="Arial"/>
          <w:color w:val="000000" w:themeColor="text1"/>
          <w:sz w:val="24"/>
          <w:szCs w:val="24"/>
        </w:rPr>
        <w:t xml:space="preserve">, a cargo de </w:t>
      </w:r>
      <w:r w:rsidR="00991C91">
        <w:rPr>
          <w:rFonts w:ascii="Arial" w:hAnsi="Arial" w:cs="Arial"/>
          <w:color w:val="000000" w:themeColor="text1"/>
          <w:sz w:val="24"/>
          <w:szCs w:val="24"/>
        </w:rPr>
        <w:t xml:space="preserve">los representantes </w:t>
      </w:r>
      <w:r w:rsidR="00525A93">
        <w:rPr>
          <w:rFonts w:ascii="Arial" w:hAnsi="Arial" w:cs="Arial"/>
          <w:color w:val="000000" w:themeColor="text1"/>
          <w:sz w:val="24"/>
          <w:szCs w:val="24"/>
        </w:rPr>
        <w:t>legales u ordenadores del gasto</w:t>
      </w:r>
      <w:r w:rsidR="006754E1">
        <w:rPr>
          <w:rFonts w:ascii="Arial" w:hAnsi="Arial" w:cs="Arial"/>
          <w:color w:val="000000" w:themeColor="text1"/>
          <w:sz w:val="24"/>
          <w:szCs w:val="24"/>
        </w:rPr>
        <w:t xml:space="preserve"> o quien haga sus veces</w:t>
      </w:r>
      <w:r w:rsidR="00991C91">
        <w:rPr>
          <w:rFonts w:ascii="Arial" w:hAnsi="Arial" w:cs="Arial"/>
          <w:color w:val="000000" w:themeColor="text1"/>
          <w:sz w:val="24"/>
          <w:szCs w:val="24"/>
        </w:rPr>
        <w:t xml:space="preserve"> </w:t>
      </w:r>
      <w:r w:rsidR="006754E1">
        <w:rPr>
          <w:rFonts w:ascii="Arial" w:hAnsi="Arial" w:cs="Arial"/>
          <w:color w:val="000000" w:themeColor="text1"/>
          <w:sz w:val="24"/>
          <w:szCs w:val="24"/>
        </w:rPr>
        <w:t xml:space="preserve">en </w:t>
      </w:r>
      <w:r w:rsidR="00991C91" w:rsidRPr="00991C91">
        <w:rPr>
          <w:rFonts w:ascii="Arial" w:hAnsi="Arial" w:cs="Arial"/>
          <w:color w:val="000000" w:themeColor="text1"/>
          <w:sz w:val="24"/>
          <w:szCs w:val="24"/>
        </w:rPr>
        <w:t>l</w:t>
      </w:r>
      <w:r w:rsidR="007B6999">
        <w:rPr>
          <w:rFonts w:ascii="Arial" w:hAnsi="Arial" w:cs="Arial"/>
          <w:color w:val="000000" w:themeColor="text1"/>
          <w:sz w:val="24"/>
          <w:szCs w:val="24"/>
        </w:rPr>
        <w:t>as entidades, empresas, fondos o</w:t>
      </w:r>
      <w:r w:rsidR="00991C91" w:rsidRPr="00991C91">
        <w:rPr>
          <w:rFonts w:ascii="Arial" w:hAnsi="Arial" w:cs="Arial"/>
          <w:color w:val="000000" w:themeColor="text1"/>
          <w:sz w:val="24"/>
          <w:szCs w:val="24"/>
        </w:rPr>
        <w:t xml:space="preserve"> patrimonios</w:t>
      </w:r>
      <w:r w:rsidR="00991C91">
        <w:rPr>
          <w:rFonts w:ascii="Arial" w:hAnsi="Arial" w:cs="Arial"/>
          <w:color w:val="000000" w:themeColor="text1"/>
          <w:sz w:val="24"/>
          <w:szCs w:val="24"/>
        </w:rPr>
        <w:t xml:space="preserve"> </w:t>
      </w:r>
      <w:r w:rsidR="00991C91" w:rsidRPr="00991C91">
        <w:rPr>
          <w:rFonts w:ascii="Arial" w:hAnsi="Arial" w:cs="Arial"/>
          <w:color w:val="000000" w:themeColor="text1"/>
          <w:sz w:val="24"/>
          <w:szCs w:val="24"/>
        </w:rPr>
        <w:t>autónomos</w:t>
      </w:r>
      <w:r w:rsidR="007B6999">
        <w:rPr>
          <w:rFonts w:ascii="Arial" w:hAnsi="Arial" w:cs="Arial"/>
          <w:color w:val="000000" w:themeColor="text1"/>
          <w:sz w:val="24"/>
          <w:szCs w:val="24"/>
        </w:rPr>
        <w:t xml:space="preserve"> del Estado</w:t>
      </w:r>
      <w:r w:rsidR="00407985">
        <w:rPr>
          <w:rFonts w:ascii="Arial" w:hAnsi="Arial" w:cs="Arial"/>
          <w:color w:val="000000" w:themeColor="text1"/>
          <w:sz w:val="24"/>
          <w:szCs w:val="24"/>
        </w:rPr>
        <w:t xml:space="preserve">. </w:t>
      </w:r>
    </w:p>
    <w:p w:rsidR="006754E1" w:rsidRDefault="006754E1" w:rsidP="006D4187">
      <w:pPr>
        <w:pStyle w:val="Prrafodelista"/>
        <w:spacing w:after="0" w:line="264" w:lineRule="auto"/>
        <w:ind w:left="0"/>
        <w:jc w:val="both"/>
        <w:rPr>
          <w:rFonts w:ascii="Arial" w:hAnsi="Arial" w:cs="Arial"/>
          <w:color w:val="000000" w:themeColor="text1"/>
          <w:sz w:val="24"/>
          <w:szCs w:val="24"/>
        </w:rPr>
      </w:pPr>
    </w:p>
    <w:p w:rsidR="0073584E" w:rsidRDefault="009B56A6" w:rsidP="006D4187">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Así las cosas</w:t>
      </w:r>
      <w:r w:rsidR="00407985">
        <w:rPr>
          <w:rFonts w:ascii="Arial" w:hAnsi="Arial" w:cs="Arial"/>
          <w:color w:val="000000" w:themeColor="text1"/>
          <w:sz w:val="24"/>
          <w:szCs w:val="24"/>
        </w:rPr>
        <w:t xml:space="preserve">, </w:t>
      </w:r>
      <w:r>
        <w:rPr>
          <w:rFonts w:ascii="Arial" w:hAnsi="Arial" w:cs="Arial"/>
          <w:color w:val="000000" w:themeColor="text1"/>
          <w:sz w:val="24"/>
          <w:szCs w:val="24"/>
        </w:rPr>
        <w:t xml:space="preserve">el artículo 2° </w:t>
      </w:r>
      <w:r w:rsidR="00407985">
        <w:rPr>
          <w:rFonts w:ascii="Arial" w:hAnsi="Arial" w:cs="Arial"/>
          <w:color w:val="000000" w:themeColor="text1"/>
          <w:sz w:val="24"/>
          <w:szCs w:val="24"/>
        </w:rPr>
        <w:t xml:space="preserve">adiciona el siguiente numeral al artículo </w:t>
      </w:r>
      <w:r w:rsidR="00B62F47">
        <w:rPr>
          <w:rFonts w:ascii="Arial" w:hAnsi="Arial" w:cs="Arial"/>
          <w:color w:val="000000" w:themeColor="text1"/>
          <w:sz w:val="24"/>
          <w:szCs w:val="24"/>
        </w:rPr>
        <w:t>38</w:t>
      </w:r>
      <w:r>
        <w:rPr>
          <w:rFonts w:ascii="Arial" w:hAnsi="Arial" w:cs="Arial"/>
          <w:color w:val="000000" w:themeColor="text1"/>
          <w:sz w:val="24"/>
          <w:szCs w:val="24"/>
        </w:rPr>
        <w:t xml:space="preserve"> </w:t>
      </w:r>
      <w:r w:rsidR="00407985">
        <w:rPr>
          <w:rFonts w:ascii="Arial" w:hAnsi="Arial" w:cs="Arial"/>
          <w:color w:val="000000" w:themeColor="text1"/>
          <w:sz w:val="24"/>
          <w:szCs w:val="24"/>
        </w:rPr>
        <w:t xml:space="preserve">de la ley 1952 de 2019: </w:t>
      </w:r>
    </w:p>
    <w:p w:rsidR="00A246AD" w:rsidRDefault="00A246AD" w:rsidP="006D4187">
      <w:pPr>
        <w:pStyle w:val="Prrafodelista"/>
        <w:spacing w:after="0" w:line="264" w:lineRule="auto"/>
        <w:ind w:left="0"/>
        <w:jc w:val="both"/>
        <w:rPr>
          <w:rFonts w:ascii="Arial" w:hAnsi="Arial" w:cs="Arial"/>
          <w:color w:val="000000" w:themeColor="text1"/>
          <w:sz w:val="24"/>
          <w:szCs w:val="24"/>
        </w:rPr>
      </w:pPr>
    </w:p>
    <w:p w:rsidR="006754E1" w:rsidRDefault="006754E1" w:rsidP="006D4187">
      <w:pPr>
        <w:pStyle w:val="Prrafodelista"/>
        <w:spacing w:after="0" w:line="264" w:lineRule="auto"/>
        <w:ind w:left="0"/>
        <w:jc w:val="both"/>
        <w:rPr>
          <w:rFonts w:ascii="Arial" w:hAnsi="Arial" w:cs="Arial"/>
          <w:color w:val="000000" w:themeColor="text1"/>
          <w:sz w:val="24"/>
          <w:szCs w:val="24"/>
        </w:rPr>
      </w:pPr>
    </w:p>
    <w:p w:rsidR="00407985" w:rsidRPr="00407985" w:rsidRDefault="007B6999" w:rsidP="006D4187">
      <w:pPr>
        <w:pStyle w:val="Prrafodelista"/>
        <w:spacing w:after="0" w:line="264" w:lineRule="auto"/>
        <w:ind w:left="0"/>
        <w:jc w:val="both"/>
        <w:rPr>
          <w:rFonts w:ascii="Arial" w:hAnsi="Arial" w:cs="Arial"/>
          <w:i/>
          <w:color w:val="000000" w:themeColor="text1"/>
          <w:sz w:val="24"/>
          <w:szCs w:val="24"/>
        </w:rPr>
      </w:pPr>
      <w:r>
        <w:rPr>
          <w:rFonts w:ascii="Arial" w:hAnsi="Arial" w:cs="Arial"/>
          <w:i/>
          <w:color w:val="000000" w:themeColor="text1"/>
          <w:sz w:val="24"/>
          <w:szCs w:val="24"/>
        </w:rPr>
        <w:lastRenderedPageBreak/>
        <w:t>“Artículo 38</w:t>
      </w:r>
      <w:r w:rsidR="00407985" w:rsidRPr="00407985">
        <w:rPr>
          <w:rFonts w:ascii="Arial" w:hAnsi="Arial" w:cs="Arial"/>
          <w:i/>
          <w:color w:val="000000" w:themeColor="text1"/>
          <w:sz w:val="24"/>
          <w:szCs w:val="24"/>
        </w:rPr>
        <w:t xml:space="preserve">. </w:t>
      </w:r>
      <w:r w:rsidR="009B56A6">
        <w:rPr>
          <w:rFonts w:ascii="Arial" w:hAnsi="Arial" w:cs="Arial"/>
          <w:i/>
          <w:color w:val="000000" w:themeColor="text1"/>
          <w:sz w:val="24"/>
          <w:szCs w:val="24"/>
        </w:rPr>
        <w:t>Deberes</w:t>
      </w:r>
      <w:r w:rsidR="00407985" w:rsidRPr="00407985">
        <w:rPr>
          <w:rFonts w:ascii="Arial" w:hAnsi="Arial" w:cs="Arial"/>
          <w:i/>
          <w:color w:val="000000" w:themeColor="text1"/>
          <w:sz w:val="24"/>
          <w:szCs w:val="24"/>
        </w:rPr>
        <w:t>.</w:t>
      </w:r>
    </w:p>
    <w:p w:rsidR="00407985" w:rsidRPr="00407985" w:rsidRDefault="00407985" w:rsidP="006D4187">
      <w:pPr>
        <w:pStyle w:val="Prrafodelista"/>
        <w:spacing w:after="0" w:line="264" w:lineRule="auto"/>
        <w:ind w:left="0"/>
        <w:jc w:val="both"/>
        <w:rPr>
          <w:rFonts w:ascii="Arial" w:hAnsi="Arial" w:cs="Arial"/>
          <w:i/>
          <w:color w:val="000000" w:themeColor="text1"/>
          <w:sz w:val="24"/>
          <w:szCs w:val="24"/>
        </w:rPr>
      </w:pPr>
    </w:p>
    <w:p w:rsidR="009801E8" w:rsidRPr="009801E8" w:rsidRDefault="00577111" w:rsidP="009801E8">
      <w:pPr>
        <w:pStyle w:val="Prrafodelista"/>
        <w:spacing w:after="0" w:line="264" w:lineRule="auto"/>
        <w:ind w:left="0"/>
        <w:jc w:val="both"/>
        <w:rPr>
          <w:rFonts w:ascii="Arial" w:hAnsi="Arial" w:cs="Arial"/>
          <w:i/>
          <w:color w:val="000000" w:themeColor="text1"/>
          <w:sz w:val="24"/>
          <w:szCs w:val="24"/>
        </w:rPr>
      </w:pPr>
      <w:r w:rsidRPr="009801E8">
        <w:rPr>
          <w:rFonts w:ascii="Arial" w:hAnsi="Arial" w:cs="Arial"/>
          <w:i/>
          <w:sz w:val="24"/>
          <w:szCs w:val="24"/>
        </w:rPr>
        <w:t xml:space="preserve">44. </w:t>
      </w:r>
      <w:r w:rsidR="009801E8" w:rsidRPr="009801E8">
        <w:rPr>
          <w:rFonts w:ascii="Arial" w:hAnsi="Arial" w:cs="Arial"/>
          <w:i/>
          <w:sz w:val="24"/>
          <w:szCs w:val="24"/>
        </w:rPr>
        <w:t xml:space="preserve"> Fenecer la cuenta fiscal individual de las entidades estatales, empresas, fondos y patrimonios autónomos del Estado </w:t>
      </w:r>
      <w:r w:rsidR="009801E8" w:rsidRPr="009801E8">
        <w:rPr>
          <w:rFonts w:ascii="Arial" w:hAnsi="Arial" w:cs="Arial"/>
          <w:i/>
          <w:color w:val="000000" w:themeColor="text1"/>
          <w:sz w:val="24"/>
          <w:szCs w:val="24"/>
        </w:rPr>
        <w:t>en la correspondiente vigencia fiscal</w:t>
      </w:r>
    </w:p>
    <w:p w:rsidR="009801E8" w:rsidRPr="009801E8" w:rsidRDefault="009801E8" w:rsidP="009801E8">
      <w:pPr>
        <w:pStyle w:val="Prrafodelista"/>
        <w:spacing w:after="0" w:line="264" w:lineRule="auto"/>
        <w:ind w:left="0"/>
        <w:jc w:val="both"/>
        <w:rPr>
          <w:rFonts w:ascii="Arial" w:hAnsi="Arial" w:cs="Arial"/>
          <w:i/>
          <w:color w:val="000000" w:themeColor="text1"/>
          <w:sz w:val="24"/>
          <w:szCs w:val="24"/>
        </w:rPr>
      </w:pPr>
    </w:p>
    <w:p w:rsidR="009801E8" w:rsidRPr="009801E8" w:rsidRDefault="009801E8" w:rsidP="009801E8">
      <w:pPr>
        <w:spacing w:after="0"/>
        <w:jc w:val="both"/>
        <w:rPr>
          <w:rFonts w:ascii="Arial" w:hAnsi="Arial" w:cs="Arial"/>
          <w:i/>
          <w:strike/>
          <w:sz w:val="24"/>
          <w:szCs w:val="24"/>
        </w:rPr>
      </w:pPr>
      <w:r w:rsidRPr="009801E8">
        <w:rPr>
          <w:rFonts w:ascii="Arial" w:hAnsi="Arial" w:cs="Arial"/>
          <w:i/>
          <w:sz w:val="24"/>
          <w:szCs w:val="24"/>
        </w:rPr>
        <w:t xml:space="preserve">Parágrafo: En los términos del numeral 44 del presente artículo, serán objeto de investigación disciplinaria </w:t>
      </w:r>
      <w:r w:rsidRPr="009801E8">
        <w:rPr>
          <w:rFonts w:ascii="Arial" w:hAnsi="Arial" w:cs="Arial"/>
          <w:i/>
          <w:color w:val="000000" w:themeColor="text1"/>
          <w:sz w:val="24"/>
          <w:szCs w:val="24"/>
        </w:rPr>
        <w:t xml:space="preserve">los representantes legales u ordenadores del gasto, directores administrativos, </w:t>
      </w:r>
      <w:r w:rsidRPr="009801E8">
        <w:rPr>
          <w:rFonts w:ascii="Arial" w:hAnsi="Arial" w:cs="Arial"/>
          <w:i/>
          <w:sz w:val="24"/>
          <w:szCs w:val="24"/>
        </w:rPr>
        <w:t>contralores para el caso de los bancos estatales</w:t>
      </w:r>
      <w:r w:rsidRPr="009801E8">
        <w:rPr>
          <w:rFonts w:ascii="Arial" w:hAnsi="Arial" w:cs="Arial"/>
          <w:i/>
          <w:color w:val="000000" w:themeColor="text1"/>
          <w:sz w:val="24"/>
          <w:szCs w:val="24"/>
        </w:rPr>
        <w:t xml:space="preserve"> </w:t>
      </w:r>
      <w:r w:rsidRPr="009801E8">
        <w:rPr>
          <w:rFonts w:ascii="Arial" w:hAnsi="Arial" w:cs="Arial"/>
          <w:i/>
          <w:sz w:val="24"/>
          <w:szCs w:val="24"/>
        </w:rPr>
        <w:t>o quien haga sus veces, que en el ejercicio de sus funciones se compruebe el mayor grado de inobservancia, descuido o desatención elemental al deber de fenecimiento de las cuentas fiscales, así no se encuentren ocupando el cargo, siempre y cuando se genere durante las dos (2) últimas vigencias fiscales consecutivas, la negación o abstención de opinión de los estados financieros y de la ejecución presupuestal  por parte de la Contraloría General de la Republica en el ejercicio del control fiscal.</w:t>
      </w:r>
    </w:p>
    <w:p w:rsidR="009801E8" w:rsidRPr="009801E8" w:rsidRDefault="009801E8" w:rsidP="009801E8">
      <w:pPr>
        <w:pStyle w:val="Prrafodelista"/>
        <w:spacing w:after="0" w:line="264" w:lineRule="auto"/>
        <w:ind w:left="0"/>
        <w:jc w:val="both"/>
        <w:rPr>
          <w:rFonts w:ascii="Arial" w:hAnsi="Arial" w:cs="Arial"/>
          <w:i/>
          <w:sz w:val="24"/>
          <w:szCs w:val="24"/>
        </w:rPr>
      </w:pPr>
    </w:p>
    <w:p w:rsidR="002201E0" w:rsidRPr="009801E8" w:rsidRDefault="009801E8" w:rsidP="009801E8">
      <w:pPr>
        <w:pStyle w:val="Prrafodelista"/>
        <w:spacing w:line="264" w:lineRule="auto"/>
        <w:ind w:left="0"/>
        <w:jc w:val="both"/>
        <w:rPr>
          <w:rFonts w:ascii="Arial" w:hAnsi="Arial" w:cs="Arial"/>
          <w:i/>
          <w:sz w:val="24"/>
          <w:szCs w:val="24"/>
        </w:rPr>
      </w:pPr>
      <w:r w:rsidRPr="009801E8">
        <w:rPr>
          <w:rFonts w:ascii="Arial" w:hAnsi="Arial" w:cs="Arial"/>
          <w:i/>
          <w:sz w:val="24"/>
          <w:szCs w:val="24"/>
        </w:rPr>
        <w:t>El no fenecimiento individual de las cuentas puede ser considerado un elemento adicional para el no fenecimiento de la cuenta general del presupuesto y del tesoro por parte de la Cámara de Representantes.</w:t>
      </w:r>
    </w:p>
    <w:p w:rsidR="009801E8" w:rsidRDefault="009801E8" w:rsidP="009801E8">
      <w:pPr>
        <w:pStyle w:val="Prrafodelista"/>
        <w:spacing w:line="264" w:lineRule="auto"/>
        <w:ind w:left="0"/>
        <w:jc w:val="both"/>
        <w:rPr>
          <w:rFonts w:ascii="Arial" w:hAnsi="Arial" w:cs="Arial"/>
          <w:i/>
          <w:sz w:val="24"/>
          <w:szCs w:val="24"/>
        </w:rPr>
      </w:pPr>
    </w:p>
    <w:p w:rsidR="00BE3FFA" w:rsidRDefault="005D1744" w:rsidP="006D4187">
      <w:pPr>
        <w:pStyle w:val="Prrafodelista"/>
        <w:spacing w:after="0" w:line="264" w:lineRule="auto"/>
        <w:ind w:left="0"/>
        <w:jc w:val="both"/>
        <w:rPr>
          <w:rFonts w:ascii="Arial" w:hAnsi="Arial" w:cs="Arial"/>
          <w:sz w:val="24"/>
          <w:szCs w:val="24"/>
        </w:rPr>
      </w:pPr>
      <w:r>
        <w:rPr>
          <w:rFonts w:ascii="Arial" w:hAnsi="Arial" w:cs="Arial"/>
          <w:sz w:val="24"/>
          <w:szCs w:val="24"/>
        </w:rPr>
        <w:t>La L</w:t>
      </w:r>
      <w:r w:rsidR="009A409B">
        <w:rPr>
          <w:rFonts w:ascii="Arial" w:hAnsi="Arial" w:cs="Arial"/>
          <w:sz w:val="24"/>
          <w:szCs w:val="24"/>
        </w:rPr>
        <w:t xml:space="preserve">ey 1952 de 2019, </w:t>
      </w:r>
      <w:r w:rsidR="00525A93">
        <w:rPr>
          <w:rFonts w:ascii="Arial" w:hAnsi="Arial" w:cs="Arial"/>
          <w:sz w:val="24"/>
          <w:szCs w:val="24"/>
        </w:rPr>
        <w:t>“</w:t>
      </w:r>
      <w:r w:rsidR="00EB73FC">
        <w:rPr>
          <w:rFonts w:ascii="Arial" w:hAnsi="Arial" w:cs="Arial"/>
          <w:sz w:val="24"/>
          <w:szCs w:val="24"/>
        </w:rPr>
        <w:t>P</w:t>
      </w:r>
      <w:r w:rsidR="009A409B" w:rsidRPr="009A409B">
        <w:rPr>
          <w:rFonts w:ascii="Arial" w:hAnsi="Arial" w:cs="Arial"/>
          <w:sz w:val="24"/>
          <w:szCs w:val="24"/>
        </w:rPr>
        <w:t>or medio de la c</w:t>
      </w:r>
      <w:r w:rsidR="009A409B">
        <w:rPr>
          <w:rFonts w:ascii="Arial" w:hAnsi="Arial" w:cs="Arial"/>
          <w:sz w:val="24"/>
          <w:szCs w:val="24"/>
        </w:rPr>
        <w:t xml:space="preserve">ual se expide el Código General </w:t>
      </w:r>
      <w:r w:rsidR="009A409B" w:rsidRPr="009A409B">
        <w:rPr>
          <w:rFonts w:ascii="Arial" w:hAnsi="Arial" w:cs="Arial"/>
          <w:sz w:val="24"/>
          <w:szCs w:val="24"/>
        </w:rPr>
        <w:t>Disciplinario se derogan la Ley 734 de 2002 y</w:t>
      </w:r>
      <w:r w:rsidR="009A409B">
        <w:rPr>
          <w:rFonts w:ascii="Arial" w:hAnsi="Arial" w:cs="Arial"/>
          <w:sz w:val="24"/>
          <w:szCs w:val="24"/>
        </w:rPr>
        <w:t xml:space="preserve"> </w:t>
      </w:r>
      <w:r w:rsidR="009A409B" w:rsidRPr="009A409B">
        <w:rPr>
          <w:rFonts w:ascii="Arial" w:hAnsi="Arial" w:cs="Arial"/>
          <w:sz w:val="24"/>
          <w:szCs w:val="24"/>
        </w:rPr>
        <w:t>algunas disposiciones de la Ley 1474 de 2011,</w:t>
      </w:r>
      <w:r w:rsidR="009A409B">
        <w:rPr>
          <w:rFonts w:ascii="Arial" w:hAnsi="Arial" w:cs="Arial"/>
          <w:sz w:val="24"/>
          <w:szCs w:val="24"/>
        </w:rPr>
        <w:t xml:space="preserve"> </w:t>
      </w:r>
      <w:r w:rsidR="009A409B" w:rsidRPr="009A409B">
        <w:rPr>
          <w:rFonts w:ascii="Arial" w:hAnsi="Arial" w:cs="Arial"/>
          <w:sz w:val="24"/>
          <w:szCs w:val="24"/>
        </w:rPr>
        <w:t>relacionadas con el Derecho Disciplinario”</w:t>
      </w:r>
      <w:r w:rsidR="009A409B">
        <w:rPr>
          <w:rFonts w:ascii="Arial" w:hAnsi="Arial" w:cs="Arial"/>
          <w:sz w:val="24"/>
          <w:szCs w:val="24"/>
        </w:rPr>
        <w:t xml:space="preserve"> </w:t>
      </w:r>
      <w:r>
        <w:rPr>
          <w:rFonts w:ascii="Arial" w:hAnsi="Arial" w:cs="Arial"/>
          <w:sz w:val="24"/>
          <w:szCs w:val="24"/>
        </w:rPr>
        <w:t>trae como un aspecto novedos</w:t>
      </w:r>
      <w:r w:rsidR="00BE3FFA">
        <w:rPr>
          <w:rFonts w:ascii="Arial" w:hAnsi="Arial" w:cs="Arial"/>
          <w:sz w:val="24"/>
          <w:szCs w:val="24"/>
        </w:rPr>
        <w:t>o</w:t>
      </w:r>
      <w:r>
        <w:rPr>
          <w:rFonts w:ascii="Arial" w:hAnsi="Arial" w:cs="Arial"/>
          <w:sz w:val="24"/>
          <w:szCs w:val="24"/>
        </w:rPr>
        <w:t xml:space="preserve"> la organización de las faltas gravísimas, encuadrándolas en varios capítulos,</w:t>
      </w:r>
      <w:r w:rsidR="00BE3FFA">
        <w:rPr>
          <w:rFonts w:ascii="Arial" w:hAnsi="Arial" w:cs="Arial"/>
          <w:sz w:val="24"/>
          <w:szCs w:val="24"/>
        </w:rPr>
        <w:t xml:space="preserve"> con el fin de resaltar su particular especialidad y brindarle al operador disciplinario la facilidad de adecuar típicamente las conductas disciplinarias que revisten esta connotación. Sin embargo, con respecto a las faltas graves y leves, se mantuvo el criterio de interpretación de acuerdo al incumplimiento de los deberes, el abuso de los derechos, la extralimitación de las funciones o la incursión al régimen de prohibiciones. </w:t>
      </w:r>
    </w:p>
    <w:p w:rsidR="00BE3FFA" w:rsidRDefault="00BE3FFA" w:rsidP="006D4187">
      <w:pPr>
        <w:pStyle w:val="Prrafodelista"/>
        <w:spacing w:after="0" w:line="264" w:lineRule="auto"/>
        <w:ind w:left="0"/>
        <w:jc w:val="both"/>
        <w:rPr>
          <w:rFonts w:ascii="Arial" w:hAnsi="Arial" w:cs="Arial"/>
          <w:sz w:val="24"/>
          <w:szCs w:val="24"/>
        </w:rPr>
      </w:pPr>
    </w:p>
    <w:p w:rsidR="00C14FB3" w:rsidRDefault="00BE3FFA" w:rsidP="006D4187">
      <w:pPr>
        <w:pStyle w:val="Prrafodelista"/>
        <w:spacing w:after="0" w:line="264" w:lineRule="auto"/>
        <w:ind w:left="0"/>
        <w:jc w:val="both"/>
        <w:rPr>
          <w:rFonts w:ascii="Arial" w:hAnsi="Arial" w:cs="Arial"/>
          <w:sz w:val="24"/>
          <w:szCs w:val="24"/>
        </w:rPr>
      </w:pPr>
      <w:r>
        <w:rPr>
          <w:rFonts w:ascii="Arial" w:hAnsi="Arial" w:cs="Arial"/>
          <w:sz w:val="24"/>
          <w:szCs w:val="24"/>
        </w:rPr>
        <w:t xml:space="preserve">Por lo tanto, </w:t>
      </w:r>
      <w:r w:rsidR="00C14FB3">
        <w:rPr>
          <w:rFonts w:ascii="Arial" w:hAnsi="Arial" w:cs="Arial"/>
          <w:sz w:val="24"/>
          <w:szCs w:val="24"/>
        </w:rPr>
        <w:t xml:space="preserve">en virtud de la entra en vigencia del </w:t>
      </w:r>
      <w:r w:rsidR="000A33AB">
        <w:rPr>
          <w:rFonts w:ascii="Arial" w:hAnsi="Arial" w:cs="Arial"/>
          <w:sz w:val="24"/>
          <w:szCs w:val="24"/>
        </w:rPr>
        <w:t>Acto Legislativo 04 de 2019, “</w:t>
      </w:r>
      <w:r w:rsidR="00EB73FC">
        <w:rPr>
          <w:rFonts w:ascii="Arial" w:hAnsi="Arial" w:cs="Arial"/>
          <w:sz w:val="24"/>
          <w:szCs w:val="24"/>
        </w:rPr>
        <w:t>P</w:t>
      </w:r>
      <w:r w:rsidR="000A33AB" w:rsidRPr="00122273">
        <w:rPr>
          <w:rFonts w:ascii="Arial" w:hAnsi="Arial" w:cs="Arial"/>
          <w:sz w:val="24"/>
          <w:szCs w:val="24"/>
        </w:rPr>
        <w:t xml:space="preserve">or medio </w:t>
      </w:r>
      <w:r w:rsidR="000A33AB" w:rsidRPr="00C14FB3">
        <w:rPr>
          <w:rFonts w:ascii="Arial" w:hAnsi="Arial" w:cs="Arial"/>
          <w:sz w:val="24"/>
          <w:szCs w:val="24"/>
        </w:rPr>
        <w:t xml:space="preserve">del cual se reforma el Régimen de Control Fiscal”, </w:t>
      </w:r>
      <w:r w:rsidR="00C14FB3">
        <w:rPr>
          <w:rFonts w:ascii="Arial" w:hAnsi="Arial" w:cs="Arial"/>
          <w:sz w:val="24"/>
          <w:szCs w:val="24"/>
        </w:rPr>
        <w:t xml:space="preserve">si bien se le otorga a </w:t>
      </w:r>
      <w:r w:rsidR="00C14FB3" w:rsidRPr="00C14FB3">
        <w:rPr>
          <w:rFonts w:ascii="Arial" w:hAnsi="Arial" w:cs="Arial"/>
          <w:sz w:val="24"/>
          <w:szCs w:val="24"/>
        </w:rPr>
        <w:t xml:space="preserve">la Contraloría General de la Republica la facultad de imponer sanciones, a los representas </w:t>
      </w:r>
      <w:r w:rsidR="00C14FB3">
        <w:rPr>
          <w:rFonts w:ascii="Arial" w:hAnsi="Arial" w:cs="Arial"/>
          <w:sz w:val="24"/>
          <w:szCs w:val="24"/>
        </w:rPr>
        <w:t xml:space="preserve">de entidades que </w:t>
      </w:r>
      <w:r w:rsidR="00C14FB3" w:rsidRPr="00C14FB3">
        <w:rPr>
          <w:rFonts w:ascii="Arial" w:hAnsi="Arial" w:cs="Arial"/>
          <w:sz w:val="24"/>
          <w:szCs w:val="24"/>
        </w:rPr>
        <w:t>no obtengan el fenecimiento de las cuentas o concepto o calificación favorable</w:t>
      </w:r>
      <w:r w:rsidR="00C14FB3">
        <w:rPr>
          <w:rFonts w:ascii="Arial" w:hAnsi="Arial" w:cs="Arial"/>
          <w:sz w:val="24"/>
          <w:szCs w:val="24"/>
        </w:rPr>
        <w:t xml:space="preserve">, </w:t>
      </w:r>
      <w:r w:rsidR="00C14FB3" w:rsidRPr="00DA4EEA">
        <w:rPr>
          <w:rFonts w:ascii="Arial" w:hAnsi="Arial" w:cs="Arial"/>
          <w:sz w:val="24"/>
          <w:szCs w:val="24"/>
        </w:rPr>
        <w:t>durante dos (2) períodos fiscales consecutivos</w:t>
      </w:r>
      <w:r w:rsidR="00C14FB3">
        <w:rPr>
          <w:rFonts w:ascii="Arial" w:hAnsi="Arial" w:cs="Arial"/>
          <w:sz w:val="24"/>
          <w:szCs w:val="24"/>
        </w:rPr>
        <w:t>, lo cierto es que dicha reforma constitucional, otorgó esa funciones únicamente para el ejercicio del control fiscal y además solo la delimitó únicamente a los representantes legales, lo que despertó la necesidad de incluir al régimen disciplinario como deber funcional, ampliando su margen de acción tanto a los representantes como a los ordenadores del gasto.</w:t>
      </w:r>
    </w:p>
    <w:p w:rsidR="00C14FB3" w:rsidRDefault="00C14FB3" w:rsidP="006D4187">
      <w:pPr>
        <w:pStyle w:val="Prrafodelista"/>
        <w:tabs>
          <w:tab w:val="left" w:pos="7170"/>
        </w:tabs>
        <w:spacing w:after="0" w:line="264" w:lineRule="auto"/>
        <w:ind w:left="0"/>
        <w:jc w:val="both"/>
        <w:rPr>
          <w:rFonts w:ascii="Arial" w:hAnsi="Arial" w:cs="Arial"/>
          <w:sz w:val="24"/>
          <w:szCs w:val="24"/>
        </w:rPr>
      </w:pPr>
      <w:r>
        <w:rPr>
          <w:rFonts w:ascii="Arial" w:hAnsi="Arial" w:cs="Arial"/>
          <w:sz w:val="24"/>
          <w:szCs w:val="24"/>
        </w:rPr>
        <w:lastRenderedPageBreak/>
        <w:tab/>
      </w:r>
    </w:p>
    <w:p w:rsidR="00122273" w:rsidRDefault="00DF2C15" w:rsidP="006D4187">
      <w:pPr>
        <w:pStyle w:val="Prrafodelista"/>
        <w:spacing w:after="0" w:line="264" w:lineRule="auto"/>
        <w:ind w:left="0"/>
        <w:jc w:val="both"/>
        <w:rPr>
          <w:rFonts w:ascii="Arial" w:hAnsi="Arial" w:cs="Arial"/>
          <w:sz w:val="24"/>
          <w:szCs w:val="24"/>
        </w:rPr>
      </w:pPr>
      <w:r>
        <w:rPr>
          <w:rFonts w:ascii="Arial" w:hAnsi="Arial" w:cs="Arial"/>
          <w:sz w:val="24"/>
          <w:szCs w:val="24"/>
        </w:rPr>
        <w:t>Por otro lado</w:t>
      </w:r>
      <w:r w:rsidR="00122273">
        <w:rPr>
          <w:rFonts w:ascii="Arial" w:hAnsi="Arial" w:cs="Arial"/>
          <w:sz w:val="24"/>
          <w:szCs w:val="24"/>
        </w:rPr>
        <w:t xml:space="preserve">, </w:t>
      </w:r>
      <w:r>
        <w:rPr>
          <w:rFonts w:ascii="Arial" w:hAnsi="Arial" w:cs="Arial"/>
          <w:sz w:val="24"/>
          <w:szCs w:val="24"/>
        </w:rPr>
        <w:t>vale la pena recordar que la</w:t>
      </w:r>
      <w:r w:rsidR="00122273">
        <w:rPr>
          <w:rFonts w:ascii="Arial" w:hAnsi="Arial" w:cs="Arial"/>
          <w:sz w:val="24"/>
          <w:szCs w:val="24"/>
        </w:rPr>
        <w:t xml:space="preserve"> acción disciplinaria, fiscal y penal </w:t>
      </w:r>
      <w:r>
        <w:rPr>
          <w:rFonts w:ascii="Arial" w:hAnsi="Arial" w:cs="Arial"/>
          <w:sz w:val="24"/>
          <w:szCs w:val="24"/>
        </w:rPr>
        <w:t xml:space="preserve">se ejercen de manera </w:t>
      </w:r>
      <w:r w:rsidR="00122273">
        <w:rPr>
          <w:rFonts w:ascii="Arial" w:hAnsi="Arial" w:cs="Arial"/>
          <w:sz w:val="24"/>
          <w:szCs w:val="24"/>
        </w:rPr>
        <w:t xml:space="preserve">independiente, autónoma y no </w:t>
      </w:r>
      <w:r>
        <w:rPr>
          <w:rFonts w:ascii="Arial" w:hAnsi="Arial" w:cs="Arial"/>
          <w:sz w:val="24"/>
          <w:szCs w:val="24"/>
        </w:rPr>
        <w:t>son excluyentes, pues así lo ha reiterado la H. Corte Constitucional, en varios pronunciamientos, al indicar que:</w:t>
      </w:r>
      <w:r w:rsidR="00122273">
        <w:rPr>
          <w:rFonts w:ascii="Arial" w:hAnsi="Arial" w:cs="Arial"/>
          <w:sz w:val="24"/>
          <w:szCs w:val="24"/>
        </w:rPr>
        <w:t xml:space="preserve"> </w:t>
      </w:r>
    </w:p>
    <w:p w:rsidR="00122273" w:rsidRDefault="00122273" w:rsidP="006D4187">
      <w:pPr>
        <w:pStyle w:val="Prrafodelista"/>
        <w:spacing w:after="0" w:line="264" w:lineRule="auto"/>
        <w:ind w:left="0"/>
        <w:jc w:val="both"/>
        <w:rPr>
          <w:rFonts w:ascii="Arial" w:hAnsi="Arial" w:cs="Arial"/>
          <w:sz w:val="24"/>
          <w:szCs w:val="24"/>
        </w:rPr>
      </w:pPr>
    </w:p>
    <w:p w:rsidR="00122273" w:rsidRPr="00122273" w:rsidRDefault="00DF2C15" w:rsidP="006D4187">
      <w:pPr>
        <w:pStyle w:val="Prrafodelista"/>
        <w:spacing w:after="0" w:line="264" w:lineRule="auto"/>
        <w:ind w:left="0"/>
        <w:jc w:val="both"/>
        <w:rPr>
          <w:rFonts w:ascii="Arial" w:hAnsi="Arial" w:cs="Arial"/>
          <w:i/>
          <w:sz w:val="24"/>
          <w:szCs w:val="24"/>
        </w:rPr>
      </w:pPr>
      <w:r>
        <w:rPr>
          <w:rFonts w:ascii="Arial" w:hAnsi="Arial" w:cs="Arial"/>
          <w:i/>
          <w:sz w:val="24"/>
          <w:szCs w:val="24"/>
        </w:rPr>
        <w:t>“</w:t>
      </w:r>
      <w:r w:rsidR="00122273" w:rsidRPr="00122273">
        <w:rPr>
          <w:rFonts w:ascii="Arial" w:hAnsi="Arial" w:cs="Arial"/>
          <w:i/>
          <w:sz w:val="24"/>
          <w:szCs w:val="24"/>
        </w:rPr>
        <w:t xml:space="preserve">El carácter patrimonial del daño diferencia la responsabilidad fiscal de otros tipos de responsabilidad como la disciplinaria, caso en el cual “el daño es </w:t>
      </w:r>
      <w:proofErr w:type="spellStart"/>
      <w:r w:rsidR="00122273" w:rsidRPr="00122273">
        <w:rPr>
          <w:rFonts w:ascii="Arial" w:hAnsi="Arial" w:cs="Arial"/>
          <w:i/>
          <w:sz w:val="24"/>
          <w:szCs w:val="24"/>
        </w:rPr>
        <w:t>extrapatrimonial</w:t>
      </w:r>
      <w:proofErr w:type="spellEnd"/>
      <w:r w:rsidR="00122273" w:rsidRPr="00122273">
        <w:rPr>
          <w:rFonts w:ascii="Arial" w:hAnsi="Arial" w:cs="Arial"/>
          <w:i/>
          <w:sz w:val="24"/>
          <w:szCs w:val="24"/>
        </w:rPr>
        <w:t xml:space="preserve"> y no susceptible de valoración económica”, de donde “el proceso disciplinario tiene un carácter sancionatorio” y también la hace independiente de la responsabilidad penal, aunque pueda “generarse por unos mismos hechos”, siendo “constitucionalmente admisible el fenómeno de la acumulación de responsabilidades, fiscal, disciplinaria y penal”, con la aclaración, hecha ya por la Corte, de que si se persigue la indemnización de perjuicios a favor del Estado dentro del proceso penal, “no es procedente al mismo tiempo obtener un reconocimiento de tales perjuicios a través de un proceso fiscal”</w:t>
      </w:r>
      <w:r>
        <w:rPr>
          <w:rStyle w:val="Refdenotaalpie"/>
          <w:rFonts w:ascii="Arial" w:hAnsi="Arial" w:cs="Arial"/>
          <w:i/>
          <w:sz w:val="24"/>
          <w:szCs w:val="24"/>
        </w:rPr>
        <w:footnoteReference w:id="2"/>
      </w:r>
    </w:p>
    <w:p w:rsidR="00A87278" w:rsidRDefault="00A87278" w:rsidP="006D4187">
      <w:pPr>
        <w:pStyle w:val="Prrafodelista"/>
        <w:spacing w:after="0" w:line="264" w:lineRule="auto"/>
        <w:ind w:left="0"/>
        <w:jc w:val="both"/>
        <w:rPr>
          <w:rFonts w:ascii="Arial" w:hAnsi="Arial" w:cs="Arial"/>
          <w:sz w:val="24"/>
          <w:szCs w:val="24"/>
        </w:rPr>
      </w:pPr>
    </w:p>
    <w:p w:rsidR="00BE7E69" w:rsidRDefault="003B26C6" w:rsidP="006D4187">
      <w:pPr>
        <w:pStyle w:val="Prrafodelista"/>
        <w:spacing w:after="0" w:line="264" w:lineRule="auto"/>
        <w:ind w:left="0"/>
        <w:jc w:val="both"/>
        <w:rPr>
          <w:rFonts w:ascii="Arial" w:hAnsi="Arial" w:cs="Arial"/>
          <w:sz w:val="24"/>
          <w:szCs w:val="24"/>
        </w:rPr>
      </w:pPr>
      <w:r>
        <w:rPr>
          <w:rFonts w:ascii="Arial" w:hAnsi="Arial" w:cs="Arial"/>
          <w:sz w:val="24"/>
          <w:szCs w:val="24"/>
        </w:rPr>
        <w:t xml:space="preserve">Dentro de las modificaciones que se proponen </w:t>
      </w:r>
      <w:r w:rsidR="00525A93">
        <w:rPr>
          <w:rFonts w:ascii="Arial" w:hAnsi="Arial" w:cs="Arial"/>
          <w:sz w:val="24"/>
          <w:szCs w:val="24"/>
        </w:rPr>
        <w:t>e</w:t>
      </w:r>
      <w:r w:rsidR="003F633F">
        <w:rPr>
          <w:rFonts w:ascii="Arial" w:hAnsi="Arial" w:cs="Arial"/>
          <w:sz w:val="24"/>
          <w:szCs w:val="24"/>
        </w:rPr>
        <w:t xml:space="preserve">n la exposición de motivos se argumenta que </w:t>
      </w:r>
      <w:r w:rsidR="00900042">
        <w:rPr>
          <w:rFonts w:ascii="Arial" w:hAnsi="Arial" w:cs="Arial"/>
          <w:sz w:val="24"/>
          <w:szCs w:val="24"/>
        </w:rPr>
        <w:t xml:space="preserve">desde el año 1993 no se ha fenecido la cuenta General del Presupuesto y el Tesoro y el Balance General de la Nación, debido a que las entidades, fondos y patrimonios autónomos han obtenido por parte de la Contraloría General de la Republica dictamen con abstención o negación de opinión a sus estados financieros y pese a esto no se ha sancionado disciplinaria, penal o fiscalmente </w:t>
      </w:r>
      <w:r w:rsidR="00BB14D3">
        <w:rPr>
          <w:rFonts w:ascii="Arial" w:hAnsi="Arial" w:cs="Arial"/>
          <w:sz w:val="24"/>
          <w:szCs w:val="24"/>
        </w:rPr>
        <w:t>a las entidades.</w:t>
      </w:r>
      <w:r w:rsidR="00900042">
        <w:rPr>
          <w:rFonts w:ascii="Arial" w:hAnsi="Arial" w:cs="Arial"/>
          <w:sz w:val="24"/>
          <w:szCs w:val="24"/>
        </w:rPr>
        <w:t xml:space="preserve"> </w:t>
      </w:r>
    </w:p>
    <w:p w:rsidR="00BE7E69" w:rsidRDefault="00BE7E69" w:rsidP="006D4187">
      <w:pPr>
        <w:pStyle w:val="Prrafodelista"/>
        <w:spacing w:after="0" w:line="264" w:lineRule="auto"/>
        <w:ind w:left="0"/>
        <w:jc w:val="both"/>
        <w:rPr>
          <w:rFonts w:ascii="Arial" w:hAnsi="Arial" w:cs="Arial"/>
          <w:sz w:val="24"/>
          <w:szCs w:val="24"/>
        </w:rPr>
      </w:pPr>
    </w:p>
    <w:p w:rsidR="003F633F" w:rsidRDefault="00326A29" w:rsidP="006D4187">
      <w:pPr>
        <w:pStyle w:val="Prrafodelista"/>
        <w:spacing w:after="0" w:line="264" w:lineRule="auto"/>
        <w:ind w:left="0"/>
        <w:jc w:val="both"/>
        <w:rPr>
          <w:rFonts w:ascii="Arial" w:hAnsi="Arial" w:cs="Arial"/>
          <w:sz w:val="24"/>
          <w:szCs w:val="24"/>
        </w:rPr>
      </w:pPr>
      <w:r>
        <w:rPr>
          <w:rFonts w:ascii="Arial" w:hAnsi="Arial" w:cs="Arial"/>
          <w:sz w:val="24"/>
          <w:szCs w:val="24"/>
        </w:rPr>
        <w:t>Sin embargo, no se ha</w:t>
      </w:r>
      <w:r w:rsidR="00BB14D3">
        <w:rPr>
          <w:rFonts w:ascii="Arial" w:hAnsi="Arial" w:cs="Arial"/>
          <w:sz w:val="24"/>
          <w:szCs w:val="24"/>
        </w:rPr>
        <w:t>n</w:t>
      </w:r>
      <w:r>
        <w:rPr>
          <w:rFonts w:ascii="Arial" w:hAnsi="Arial" w:cs="Arial"/>
          <w:sz w:val="24"/>
          <w:szCs w:val="24"/>
        </w:rPr>
        <w:t xml:space="preserve"> presentado cifras o informe alguno qu</w:t>
      </w:r>
      <w:r w:rsidR="003F7BEC">
        <w:rPr>
          <w:rFonts w:ascii="Arial" w:hAnsi="Arial" w:cs="Arial"/>
          <w:sz w:val="24"/>
          <w:szCs w:val="24"/>
        </w:rPr>
        <w:t>e sustente dicho incumplimiento,</w:t>
      </w:r>
      <w:r>
        <w:rPr>
          <w:rFonts w:ascii="Arial" w:hAnsi="Arial" w:cs="Arial"/>
          <w:sz w:val="24"/>
          <w:szCs w:val="24"/>
        </w:rPr>
        <w:t xml:space="preserve"> </w:t>
      </w:r>
      <w:r w:rsidR="003F7BEC">
        <w:rPr>
          <w:rFonts w:ascii="Arial" w:hAnsi="Arial" w:cs="Arial"/>
          <w:sz w:val="24"/>
          <w:szCs w:val="24"/>
        </w:rPr>
        <w:t>se allegó</w:t>
      </w:r>
      <w:r w:rsidR="00607F6A">
        <w:rPr>
          <w:rFonts w:ascii="Arial" w:hAnsi="Arial" w:cs="Arial"/>
          <w:sz w:val="24"/>
          <w:szCs w:val="24"/>
        </w:rPr>
        <w:t xml:space="preserve">, un cuadro preparado por la </w:t>
      </w:r>
      <w:r w:rsidR="003F7BEC">
        <w:rPr>
          <w:rFonts w:ascii="Arial" w:hAnsi="Arial" w:cs="Arial"/>
          <w:sz w:val="24"/>
          <w:szCs w:val="24"/>
        </w:rPr>
        <w:t xml:space="preserve">Contraloría </w:t>
      </w:r>
      <w:r>
        <w:rPr>
          <w:rFonts w:ascii="Arial" w:hAnsi="Arial" w:cs="Arial"/>
          <w:sz w:val="24"/>
          <w:szCs w:val="24"/>
        </w:rPr>
        <w:t>General</w:t>
      </w:r>
      <w:r w:rsidR="003F7BEC">
        <w:rPr>
          <w:rFonts w:ascii="Arial" w:hAnsi="Arial" w:cs="Arial"/>
          <w:sz w:val="24"/>
          <w:szCs w:val="24"/>
        </w:rPr>
        <w:t xml:space="preserve"> de la Republica</w:t>
      </w:r>
      <w:r>
        <w:rPr>
          <w:rFonts w:ascii="Arial" w:hAnsi="Arial" w:cs="Arial"/>
          <w:sz w:val="24"/>
          <w:szCs w:val="24"/>
        </w:rPr>
        <w:t>, donde se demuestra la evolución de los dictámenes de los estados financieros durante el periodo 2014, 2015, 2016, y 2017, en los cuales podemos evidenciar que de las 184 entidades auditadas</w:t>
      </w:r>
      <w:r w:rsidR="00BB14D3">
        <w:rPr>
          <w:rFonts w:ascii="Arial" w:hAnsi="Arial" w:cs="Arial"/>
          <w:sz w:val="24"/>
          <w:szCs w:val="24"/>
        </w:rPr>
        <w:t xml:space="preserve"> en estos periodos de tiempo se presentaron varias opiniones negativas y algunos otros se abstuvieron de emitir opinión, situación que </w:t>
      </w:r>
      <w:r w:rsidR="00D2329C">
        <w:rPr>
          <w:rFonts w:ascii="Arial" w:hAnsi="Arial" w:cs="Arial"/>
          <w:sz w:val="24"/>
          <w:szCs w:val="24"/>
        </w:rPr>
        <w:t>generaría detrimento del Presupuesto General del Nación, imposibilitando a la vez que se lleve a cabo el fenecimiento de la Cuenta</w:t>
      </w:r>
      <w:r w:rsidR="00607F6A">
        <w:rPr>
          <w:rFonts w:ascii="Arial" w:hAnsi="Arial" w:cs="Arial"/>
          <w:sz w:val="24"/>
          <w:szCs w:val="24"/>
        </w:rPr>
        <w:t xml:space="preserve"> General del Presupuesto</w:t>
      </w:r>
      <w:r w:rsidR="00D2329C">
        <w:rPr>
          <w:rFonts w:ascii="Arial" w:hAnsi="Arial" w:cs="Arial"/>
          <w:sz w:val="24"/>
          <w:szCs w:val="24"/>
        </w:rPr>
        <w:t xml:space="preserve"> y del Tesoro y el Balance General </w:t>
      </w:r>
      <w:r w:rsidR="00607F6A">
        <w:rPr>
          <w:rFonts w:ascii="Arial" w:hAnsi="Arial" w:cs="Arial"/>
          <w:sz w:val="24"/>
          <w:szCs w:val="24"/>
        </w:rPr>
        <w:t xml:space="preserve">Consolidado </w:t>
      </w:r>
      <w:r w:rsidR="00D2329C">
        <w:rPr>
          <w:rFonts w:ascii="Arial" w:hAnsi="Arial" w:cs="Arial"/>
          <w:sz w:val="24"/>
          <w:szCs w:val="24"/>
        </w:rPr>
        <w:t>d</w:t>
      </w:r>
      <w:r w:rsidR="00814432">
        <w:rPr>
          <w:rFonts w:ascii="Arial" w:hAnsi="Arial" w:cs="Arial"/>
          <w:sz w:val="24"/>
          <w:szCs w:val="24"/>
        </w:rPr>
        <w:t>e</w:t>
      </w:r>
      <w:r w:rsidR="00607F6A">
        <w:rPr>
          <w:rFonts w:ascii="Arial" w:hAnsi="Arial" w:cs="Arial"/>
          <w:sz w:val="24"/>
          <w:szCs w:val="24"/>
        </w:rPr>
        <w:t xml:space="preserve"> la Nación (Estado de Situación Financiera). </w:t>
      </w:r>
    </w:p>
    <w:p w:rsidR="00BB14D3" w:rsidRDefault="00BB14D3" w:rsidP="006D4187">
      <w:pPr>
        <w:pStyle w:val="Prrafodelista"/>
        <w:spacing w:after="0" w:line="264" w:lineRule="auto"/>
        <w:ind w:left="0"/>
        <w:jc w:val="both"/>
        <w:rPr>
          <w:rFonts w:ascii="Arial" w:hAnsi="Arial" w:cs="Arial"/>
          <w:sz w:val="24"/>
          <w:szCs w:val="24"/>
        </w:rPr>
      </w:pPr>
    </w:p>
    <w:p w:rsidR="00F614ED" w:rsidRDefault="00F614ED" w:rsidP="006D4187">
      <w:pPr>
        <w:pStyle w:val="Prrafodelista"/>
        <w:spacing w:after="0" w:line="264" w:lineRule="auto"/>
        <w:ind w:left="0"/>
        <w:jc w:val="both"/>
        <w:rPr>
          <w:rFonts w:ascii="Arial" w:hAnsi="Arial" w:cs="Arial"/>
          <w:sz w:val="24"/>
          <w:szCs w:val="24"/>
        </w:rPr>
      </w:pPr>
      <w:r w:rsidRPr="00D2329C">
        <w:rPr>
          <w:rFonts w:ascii="Arial" w:hAnsi="Arial" w:cs="Arial"/>
          <w:sz w:val="24"/>
          <w:szCs w:val="24"/>
        </w:rPr>
        <w:t>El informe de Auditoria del Balance de la Nación par</w:t>
      </w:r>
      <w:r w:rsidR="003F7BEC">
        <w:rPr>
          <w:rFonts w:ascii="Arial" w:hAnsi="Arial" w:cs="Arial"/>
          <w:sz w:val="24"/>
          <w:szCs w:val="24"/>
        </w:rPr>
        <w:t>a el año 2018, presentado por la</w:t>
      </w:r>
      <w:r w:rsidRPr="00D2329C">
        <w:rPr>
          <w:rFonts w:ascii="Arial" w:hAnsi="Arial" w:cs="Arial"/>
          <w:sz w:val="24"/>
          <w:szCs w:val="24"/>
        </w:rPr>
        <w:t xml:space="preserve"> Contraloría General de la </w:t>
      </w:r>
      <w:r w:rsidR="003F7BEC">
        <w:rPr>
          <w:rFonts w:ascii="Arial" w:hAnsi="Arial" w:cs="Arial"/>
          <w:sz w:val="24"/>
          <w:szCs w:val="24"/>
        </w:rPr>
        <w:t>Republica, plantea que para ese</w:t>
      </w:r>
      <w:r w:rsidRPr="00D2329C">
        <w:rPr>
          <w:rFonts w:ascii="Arial" w:hAnsi="Arial" w:cs="Arial"/>
          <w:sz w:val="24"/>
          <w:szCs w:val="24"/>
        </w:rPr>
        <w:t xml:space="preserve"> año el 33,6% de</w:t>
      </w:r>
      <w:r w:rsidR="003F7BEC">
        <w:rPr>
          <w:rFonts w:ascii="Arial" w:hAnsi="Arial" w:cs="Arial"/>
          <w:sz w:val="24"/>
          <w:szCs w:val="24"/>
        </w:rPr>
        <w:t xml:space="preserve"> las </w:t>
      </w:r>
      <w:r w:rsidR="003F7BEC">
        <w:rPr>
          <w:rFonts w:ascii="Arial" w:hAnsi="Arial" w:cs="Arial"/>
          <w:sz w:val="24"/>
          <w:szCs w:val="24"/>
        </w:rPr>
        <w:lastRenderedPageBreak/>
        <w:t>entidades auditadas, obtuvieron</w:t>
      </w:r>
      <w:r w:rsidRPr="00D2329C">
        <w:rPr>
          <w:rFonts w:ascii="Arial" w:hAnsi="Arial" w:cs="Arial"/>
          <w:sz w:val="24"/>
          <w:szCs w:val="24"/>
        </w:rPr>
        <w:t xml:space="preserve"> opinión negativa y el 2,9% de estas presento abstención de opinión: </w:t>
      </w:r>
    </w:p>
    <w:p w:rsidR="006D4187" w:rsidRPr="00D2329C" w:rsidRDefault="006D4187" w:rsidP="006D4187">
      <w:pPr>
        <w:pStyle w:val="Prrafodelista"/>
        <w:spacing w:after="0" w:line="264" w:lineRule="auto"/>
        <w:ind w:left="0"/>
        <w:jc w:val="both"/>
        <w:rPr>
          <w:rFonts w:ascii="Arial" w:hAnsi="Arial" w:cs="Arial"/>
          <w:sz w:val="24"/>
          <w:szCs w:val="24"/>
        </w:rPr>
      </w:pPr>
    </w:p>
    <w:p w:rsidR="00F614ED" w:rsidRDefault="00F614ED" w:rsidP="006D4187">
      <w:pPr>
        <w:pStyle w:val="Ttulo1"/>
        <w:spacing w:before="0" w:beforeAutospacing="0" w:after="0" w:afterAutospacing="0" w:line="264" w:lineRule="auto"/>
        <w:jc w:val="both"/>
        <w:rPr>
          <w:rFonts w:ascii="Arial" w:hAnsi="Arial" w:cs="Arial"/>
          <w:b w:val="0"/>
          <w:i/>
          <w:sz w:val="24"/>
          <w:szCs w:val="24"/>
        </w:rPr>
      </w:pPr>
      <w:r>
        <w:rPr>
          <w:rFonts w:ascii="Arial" w:hAnsi="Arial" w:cs="Arial"/>
          <w:b w:val="0"/>
          <w:i/>
          <w:sz w:val="24"/>
          <w:szCs w:val="24"/>
        </w:rPr>
        <w:t>“</w:t>
      </w:r>
      <w:r w:rsidRPr="00F614ED">
        <w:rPr>
          <w:rFonts w:ascii="Arial" w:hAnsi="Arial" w:cs="Arial"/>
          <w:b w:val="0"/>
          <w:i/>
          <w:sz w:val="24"/>
          <w:szCs w:val="24"/>
        </w:rPr>
        <w:t>Frente a las opiniones resultantes de una muestra de 104 entidades auditadas, se encontró qué de las opiniones emitidas por las contralorías delegadas sectoriales a los estados financieros individuales de los sujetos de control, el 40,4% tuvo opinión sin salvedades, 23,1% tuvo opinión con salvedades, 33,6% tuvo opinión negativa y 2,9%</w:t>
      </w:r>
      <w:r w:rsidR="00525A93">
        <w:rPr>
          <w:rFonts w:ascii="Arial" w:hAnsi="Arial" w:cs="Arial"/>
          <w:b w:val="0"/>
          <w:i/>
          <w:sz w:val="24"/>
          <w:szCs w:val="24"/>
        </w:rPr>
        <w:t xml:space="preserve"> presentó abstención de opinión</w:t>
      </w:r>
      <w:r w:rsidRPr="00F614ED">
        <w:rPr>
          <w:rFonts w:ascii="Arial" w:hAnsi="Arial" w:cs="Arial"/>
          <w:b w:val="0"/>
          <w:i/>
          <w:sz w:val="24"/>
          <w:szCs w:val="24"/>
        </w:rPr>
        <w:t>.</w:t>
      </w:r>
      <w:r>
        <w:rPr>
          <w:rFonts w:ascii="Arial" w:hAnsi="Arial" w:cs="Arial"/>
          <w:b w:val="0"/>
          <w:i/>
          <w:sz w:val="24"/>
          <w:szCs w:val="24"/>
        </w:rPr>
        <w:t>”</w:t>
      </w:r>
      <w:r>
        <w:rPr>
          <w:rStyle w:val="Refdenotaalpie"/>
          <w:rFonts w:ascii="Arial" w:hAnsi="Arial" w:cs="Arial"/>
          <w:b w:val="0"/>
          <w:i/>
          <w:sz w:val="24"/>
          <w:szCs w:val="24"/>
        </w:rPr>
        <w:footnoteReference w:id="3"/>
      </w:r>
    </w:p>
    <w:p w:rsidR="006D4187" w:rsidRDefault="006D4187" w:rsidP="006D4187">
      <w:pPr>
        <w:pStyle w:val="Ttulo1"/>
        <w:spacing w:before="0" w:beforeAutospacing="0" w:after="0" w:afterAutospacing="0" w:line="264" w:lineRule="auto"/>
        <w:jc w:val="both"/>
        <w:rPr>
          <w:rFonts w:ascii="Arial" w:hAnsi="Arial" w:cs="Arial"/>
          <w:b w:val="0"/>
          <w:i/>
          <w:sz w:val="24"/>
          <w:szCs w:val="24"/>
        </w:rPr>
      </w:pPr>
    </w:p>
    <w:p w:rsidR="00BB14D3" w:rsidRDefault="00BB14D3" w:rsidP="006D4187">
      <w:pPr>
        <w:pStyle w:val="Ttulo1"/>
        <w:spacing w:before="0" w:beforeAutospacing="0" w:after="0" w:afterAutospacing="0" w:line="264" w:lineRule="auto"/>
        <w:jc w:val="both"/>
        <w:rPr>
          <w:rFonts w:ascii="Arial" w:hAnsi="Arial" w:cs="Arial"/>
          <w:b w:val="0"/>
          <w:sz w:val="24"/>
          <w:szCs w:val="24"/>
        </w:rPr>
      </w:pPr>
      <w:r>
        <w:rPr>
          <w:rFonts w:ascii="Arial" w:hAnsi="Arial" w:cs="Arial"/>
          <w:b w:val="0"/>
          <w:sz w:val="24"/>
          <w:szCs w:val="24"/>
        </w:rPr>
        <w:t>Debido a estas inconsistencias que alcanzaron los $100,8 billones que equivalen al 7.3% de los activos consolidados en el sector público</w:t>
      </w:r>
      <w:r>
        <w:rPr>
          <w:rStyle w:val="Refdenotaalpie"/>
          <w:rFonts w:ascii="Arial" w:hAnsi="Arial" w:cs="Arial"/>
          <w:b w:val="0"/>
          <w:sz w:val="24"/>
          <w:szCs w:val="24"/>
        </w:rPr>
        <w:footnoteReference w:id="4"/>
      </w:r>
      <w:r>
        <w:rPr>
          <w:rFonts w:ascii="Arial" w:hAnsi="Arial" w:cs="Arial"/>
          <w:b w:val="0"/>
          <w:sz w:val="24"/>
          <w:szCs w:val="24"/>
        </w:rPr>
        <w:t xml:space="preserve">, </w:t>
      </w:r>
      <w:r w:rsidR="00F40313">
        <w:rPr>
          <w:rFonts w:ascii="Arial" w:hAnsi="Arial" w:cs="Arial"/>
          <w:b w:val="0"/>
          <w:sz w:val="24"/>
          <w:szCs w:val="24"/>
        </w:rPr>
        <w:t>en el Balance General de la Nación, la Contraloría General de la Republica emitió dictamen negativo</w:t>
      </w:r>
      <w:r>
        <w:rPr>
          <w:rFonts w:ascii="Arial" w:hAnsi="Arial" w:cs="Arial"/>
          <w:b w:val="0"/>
          <w:sz w:val="24"/>
          <w:szCs w:val="24"/>
        </w:rPr>
        <w:t xml:space="preserve"> par</w:t>
      </w:r>
      <w:r w:rsidR="00F40313">
        <w:rPr>
          <w:rFonts w:ascii="Arial" w:hAnsi="Arial" w:cs="Arial"/>
          <w:b w:val="0"/>
          <w:sz w:val="24"/>
          <w:szCs w:val="24"/>
        </w:rPr>
        <w:t>a la vigencia del año 2018.</w:t>
      </w:r>
    </w:p>
    <w:p w:rsidR="006D4187" w:rsidRDefault="006D4187" w:rsidP="006D4187">
      <w:pPr>
        <w:pStyle w:val="Ttulo1"/>
        <w:spacing w:before="0" w:beforeAutospacing="0" w:after="0" w:afterAutospacing="0" w:line="264" w:lineRule="auto"/>
        <w:jc w:val="both"/>
        <w:rPr>
          <w:rFonts w:ascii="Arial" w:hAnsi="Arial" w:cs="Arial"/>
          <w:b w:val="0"/>
          <w:sz w:val="24"/>
          <w:szCs w:val="24"/>
        </w:rPr>
      </w:pPr>
    </w:p>
    <w:p w:rsidR="00673E8C" w:rsidRPr="00D72A63" w:rsidRDefault="00BB14D3" w:rsidP="00D72A63">
      <w:pPr>
        <w:pStyle w:val="Ttulo1"/>
        <w:spacing w:before="0" w:beforeAutospacing="0" w:after="0" w:afterAutospacing="0" w:line="264" w:lineRule="auto"/>
        <w:jc w:val="both"/>
        <w:rPr>
          <w:rFonts w:ascii="Arial" w:hAnsi="Arial" w:cs="Arial"/>
          <w:b w:val="0"/>
          <w:sz w:val="24"/>
          <w:szCs w:val="24"/>
        </w:rPr>
      </w:pPr>
      <w:r>
        <w:rPr>
          <w:rFonts w:ascii="Arial" w:hAnsi="Arial" w:cs="Arial"/>
          <w:b w:val="0"/>
          <w:sz w:val="24"/>
          <w:szCs w:val="24"/>
        </w:rPr>
        <w:t>Es por esto que se hace necesa</w:t>
      </w:r>
      <w:r w:rsidR="00D2329C">
        <w:rPr>
          <w:rFonts w:ascii="Arial" w:hAnsi="Arial" w:cs="Arial"/>
          <w:b w:val="0"/>
          <w:sz w:val="24"/>
          <w:szCs w:val="24"/>
        </w:rPr>
        <w:t>rio que se tipifique como falta</w:t>
      </w:r>
      <w:r>
        <w:rPr>
          <w:rFonts w:ascii="Arial" w:hAnsi="Arial" w:cs="Arial"/>
          <w:b w:val="0"/>
          <w:sz w:val="24"/>
          <w:szCs w:val="24"/>
        </w:rPr>
        <w:t xml:space="preserve"> </w:t>
      </w:r>
      <w:r w:rsidR="00D2329C">
        <w:rPr>
          <w:rFonts w:ascii="Arial" w:hAnsi="Arial" w:cs="Arial"/>
          <w:b w:val="0"/>
          <w:sz w:val="24"/>
          <w:szCs w:val="24"/>
        </w:rPr>
        <w:t>el no fenecer la cuenta</w:t>
      </w:r>
      <w:r w:rsidR="00517298">
        <w:rPr>
          <w:rFonts w:ascii="Arial" w:hAnsi="Arial" w:cs="Arial"/>
          <w:b w:val="0"/>
          <w:sz w:val="24"/>
          <w:szCs w:val="24"/>
        </w:rPr>
        <w:t xml:space="preserve"> en la correspondiente vigencia fiscal</w:t>
      </w:r>
      <w:r w:rsidR="00D2329C">
        <w:rPr>
          <w:rFonts w:ascii="Arial" w:hAnsi="Arial" w:cs="Arial"/>
          <w:b w:val="0"/>
          <w:sz w:val="24"/>
          <w:szCs w:val="24"/>
        </w:rPr>
        <w:t xml:space="preserve">, </w:t>
      </w:r>
      <w:r w:rsidR="00517298">
        <w:rPr>
          <w:rFonts w:ascii="Arial" w:hAnsi="Arial" w:cs="Arial"/>
          <w:b w:val="0"/>
          <w:sz w:val="24"/>
          <w:szCs w:val="24"/>
        </w:rPr>
        <w:t xml:space="preserve">al </w:t>
      </w:r>
      <w:r w:rsidR="00D2329C">
        <w:rPr>
          <w:rFonts w:ascii="Arial" w:hAnsi="Arial" w:cs="Arial"/>
          <w:b w:val="0"/>
          <w:sz w:val="24"/>
          <w:szCs w:val="24"/>
        </w:rPr>
        <w:t xml:space="preserve">obtener opinión negativa o abstención de opinión frente a </w:t>
      </w:r>
      <w:r w:rsidR="00D2329C" w:rsidRPr="00D2329C">
        <w:rPr>
          <w:rFonts w:ascii="Arial" w:hAnsi="Arial" w:cs="Arial"/>
          <w:b w:val="0"/>
          <w:sz w:val="24"/>
          <w:szCs w:val="24"/>
        </w:rPr>
        <w:t>la Cuenta</w:t>
      </w:r>
      <w:r w:rsidR="00607F6A">
        <w:rPr>
          <w:rFonts w:ascii="Arial" w:hAnsi="Arial" w:cs="Arial"/>
          <w:b w:val="0"/>
          <w:sz w:val="24"/>
          <w:szCs w:val="24"/>
        </w:rPr>
        <w:t xml:space="preserve"> </w:t>
      </w:r>
      <w:r w:rsidR="00607F6A" w:rsidRPr="00607F6A">
        <w:rPr>
          <w:rFonts w:ascii="Arial" w:hAnsi="Arial" w:cs="Arial"/>
          <w:b w:val="0"/>
          <w:sz w:val="24"/>
          <w:szCs w:val="24"/>
        </w:rPr>
        <w:t>General del Presupuesto y</w:t>
      </w:r>
      <w:r w:rsidR="00D2329C" w:rsidRPr="00D2329C">
        <w:rPr>
          <w:rFonts w:ascii="Arial" w:hAnsi="Arial" w:cs="Arial"/>
          <w:b w:val="0"/>
          <w:sz w:val="24"/>
          <w:szCs w:val="24"/>
        </w:rPr>
        <w:t xml:space="preserve"> del Tesoro y el Balance </w:t>
      </w:r>
      <w:r w:rsidR="00607F6A" w:rsidRPr="00D2329C">
        <w:rPr>
          <w:rFonts w:ascii="Arial" w:hAnsi="Arial" w:cs="Arial"/>
          <w:b w:val="0"/>
          <w:sz w:val="24"/>
          <w:szCs w:val="24"/>
        </w:rPr>
        <w:t xml:space="preserve">General </w:t>
      </w:r>
      <w:r w:rsidR="00607F6A">
        <w:rPr>
          <w:rFonts w:ascii="Arial" w:hAnsi="Arial" w:cs="Arial"/>
          <w:b w:val="0"/>
          <w:sz w:val="24"/>
          <w:szCs w:val="24"/>
        </w:rPr>
        <w:t xml:space="preserve">Consolidado </w:t>
      </w:r>
      <w:r w:rsidR="00D2329C" w:rsidRPr="00D2329C">
        <w:rPr>
          <w:rFonts w:ascii="Arial" w:hAnsi="Arial" w:cs="Arial"/>
          <w:b w:val="0"/>
          <w:sz w:val="24"/>
          <w:szCs w:val="24"/>
        </w:rPr>
        <w:t>de la Nación</w:t>
      </w:r>
      <w:r w:rsidR="00607F6A">
        <w:rPr>
          <w:rFonts w:ascii="Arial" w:hAnsi="Arial" w:cs="Arial"/>
          <w:b w:val="0"/>
          <w:sz w:val="24"/>
          <w:szCs w:val="24"/>
        </w:rPr>
        <w:t xml:space="preserve"> </w:t>
      </w:r>
      <w:r w:rsidR="00607F6A" w:rsidRPr="00607F6A">
        <w:rPr>
          <w:rFonts w:ascii="Arial" w:hAnsi="Arial" w:cs="Arial"/>
          <w:b w:val="0"/>
          <w:sz w:val="24"/>
          <w:szCs w:val="24"/>
        </w:rPr>
        <w:t>(</w:t>
      </w:r>
      <w:r w:rsidR="00D56B70">
        <w:rPr>
          <w:rFonts w:ascii="Arial" w:hAnsi="Arial" w:cs="Arial"/>
          <w:b w:val="0"/>
          <w:sz w:val="24"/>
          <w:szCs w:val="24"/>
        </w:rPr>
        <w:t>Estado de Situación Financiera), en dos vigencias consecutivas.</w:t>
      </w:r>
    </w:p>
    <w:p w:rsidR="00976F45" w:rsidRDefault="00976F45" w:rsidP="00FE24AA">
      <w:pPr>
        <w:pStyle w:val="Prrafodelista"/>
        <w:ind w:left="0"/>
        <w:jc w:val="both"/>
        <w:rPr>
          <w:rFonts w:ascii="Arial" w:hAnsi="Arial" w:cs="Arial"/>
          <w:sz w:val="24"/>
          <w:szCs w:val="24"/>
        </w:rPr>
      </w:pPr>
    </w:p>
    <w:p w:rsidR="00A246AD" w:rsidRPr="00A246AD" w:rsidRDefault="00A246AD" w:rsidP="00A246AD">
      <w:pPr>
        <w:pStyle w:val="Prrafodelista"/>
        <w:numPr>
          <w:ilvl w:val="0"/>
          <w:numId w:val="2"/>
        </w:numPr>
        <w:jc w:val="both"/>
        <w:rPr>
          <w:rFonts w:ascii="Arial" w:hAnsi="Arial" w:cs="Arial"/>
          <w:b/>
          <w:sz w:val="24"/>
          <w:szCs w:val="24"/>
        </w:rPr>
      </w:pPr>
      <w:r w:rsidRPr="00A246AD">
        <w:rPr>
          <w:rFonts w:ascii="Arial" w:hAnsi="Arial" w:cs="Arial"/>
          <w:b/>
          <w:sz w:val="24"/>
          <w:szCs w:val="24"/>
        </w:rPr>
        <w:t xml:space="preserve">Pliego de modificaciones: </w:t>
      </w:r>
    </w:p>
    <w:tbl>
      <w:tblPr>
        <w:tblStyle w:val="Tablaconcuadrcula"/>
        <w:tblW w:w="0" w:type="auto"/>
        <w:tblInd w:w="360" w:type="dxa"/>
        <w:tblLook w:val="04A0" w:firstRow="1" w:lastRow="0" w:firstColumn="1" w:lastColumn="0" w:noHBand="0" w:noVBand="1"/>
      </w:tblPr>
      <w:tblGrid>
        <w:gridCol w:w="4234"/>
        <w:gridCol w:w="4234"/>
      </w:tblGrid>
      <w:tr w:rsidR="009F12A6" w:rsidTr="00864004">
        <w:tc>
          <w:tcPr>
            <w:tcW w:w="4234" w:type="dxa"/>
          </w:tcPr>
          <w:p w:rsidR="009F12A6" w:rsidRPr="009F12A6" w:rsidRDefault="00D72A63" w:rsidP="009F12A6">
            <w:pPr>
              <w:jc w:val="center"/>
              <w:rPr>
                <w:rFonts w:ascii="Arial" w:hAnsi="Arial" w:cs="Arial"/>
                <w:b/>
                <w:sz w:val="24"/>
                <w:szCs w:val="24"/>
              </w:rPr>
            </w:pPr>
            <w:r>
              <w:rPr>
                <w:rFonts w:ascii="Arial" w:hAnsi="Arial" w:cs="Arial"/>
                <w:b/>
                <w:sz w:val="24"/>
                <w:szCs w:val="24"/>
              </w:rPr>
              <w:t>Texto A</w:t>
            </w:r>
            <w:r w:rsidR="006B404E">
              <w:rPr>
                <w:rFonts w:ascii="Arial" w:hAnsi="Arial" w:cs="Arial"/>
                <w:b/>
                <w:sz w:val="24"/>
                <w:szCs w:val="24"/>
              </w:rPr>
              <w:t xml:space="preserve">probado </w:t>
            </w:r>
          </w:p>
        </w:tc>
        <w:tc>
          <w:tcPr>
            <w:tcW w:w="4234" w:type="dxa"/>
          </w:tcPr>
          <w:p w:rsidR="009F12A6" w:rsidRPr="009F12A6" w:rsidRDefault="009F12A6" w:rsidP="009F12A6">
            <w:pPr>
              <w:jc w:val="center"/>
              <w:rPr>
                <w:rFonts w:ascii="Arial" w:hAnsi="Arial" w:cs="Arial"/>
                <w:b/>
                <w:sz w:val="24"/>
                <w:szCs w:val="24"/>
              </w:rPr>
            </w:pPr>
            <w:r w:rsidRPr="009F12A6">
              <w:rPr>
                <w:rFonts w:ascii="Arial" w:hAnsi="Arial" w:cs="Arial"/>
                <w:b/>
                <w:sz w:val="24"/>
                <w:szCs w:val="24"/>
              </w:rPr>
              <w:t>Pliego de Modificaciones</w:t>
            </w:r>
          </w:p>
        </w:tc>
      </w:tr>
      <w:tr w:rsidR="009E6101" w:rsidTr="00864004">
        <w:tc>
          <w:tcPr>
            <w:tcW w:w="4234" w:type="dxa"/>
          </w:tcPr>
          <w:p w:rsidR="009E6101" w:rsidRDefault="009E6101" w:rsidP="009E6101">
            <w:pPr>
              <w:jc w:val="both"/>
              <w:rPr>
                <w:rFonts w:ascii="Arial" w:hAnsi="Arial" w:cs="Arial"/>
                <w:b/>
              </w:rPr>
            </w:pPr>
            <w:r>
              <w:rPr>
                <w:rFonts w:ascii="Arial" w:hAnsi="Arial" w:cs="Arial"/>
                <w:b/>
              </w:rPr>
              <w:t xml:space="preserve">PROYECTO DE LEY No. 145 DE 2019 CÁMARA “POR MEDIO DEL CUAL SE ADICIONA UN NUMERAL AL ARTÍCULO </w:t>
            </w:r>
            <w:r w:rsidRPr="009E6101">
              <w:rPr>
                <w:rFonts w:ascii="Arial" w:hAnsi="Arial" w:cs="Arial"/>
                <w:b/>
                <w:strike/>
              </w:rPr>
              <w:t>57</w:t>
            </w:r>
            <w:r>
              <w:rPr>
                <w:rFonts w:ascii="Arial" w:hAnsi="Arial" w:cs="Arial"/>
                <w:b/>
              </w:rPr>
              <w:t xml:space="preserve"> DE LA LEY 1952 DE 2019 (CÓDIGO GENERAL DISCIPLINARIO)”.</w:t>
            </w:r>
          </w:p>
          <w:p w:rsidR="009E6101" w:rsidRDefault="009E6101" w:rsidP="009F12A6">
            <w:pPr>
              <w:jc w:val="center"/>
              <w:rPr>
                <w:rFonts w:ascii="Arial" w:hAnsi="Arial" w:cs="Arial"/>
                <w:b/>
                <w:sz w:val="24"/>
                <w:szCs w:val="24"/>
              </w:rPr>
            </w:pPr>
          </w:p>
        </w:tc>
        <w:tc>
          <w:tcPr>
            <w:tcW w:w="4234" w:type="dxa"/>
          </w:tcPr>
          <w:p w:rsidR="009E6101" w:rsidRDefault="009E6101" w:rsidP="009E6101">
            <w:pPr>
              <w:jc w:val="both"/>
              <w:rPr>
                <w:rFonts w:ascii="Arial" w:hAnsi="Arial" w:cs="Arial"/>
                <w:b/>
              </w:rPr>
            </w:pPr>
            <w:r>
              <w:rPr>
                <w:rFonts w:ascii="Arial" w:hAnsi="Arial" w:cs="Arial"/>
                <w:b/>
              </w:rPr>
              <w:t xml:space="preserve">PROYECTO DE LEY No. 145 DE 2019 CÁMARA “POR MEDIO DEL CUAL SE ADICIONA UN NUMERAL AL ARTÍCULO </w:t>
            </w:r>
            <w:r w:rsidRPr="008F330F">
              <w:rPr>
                <w:rFonts w:ascii="Arial" w:hAnsi="Arial" w:cs="Arial"/>
                <w:b/>
                <w:u w:val="single"/>
              </w:rPr>
              <w:t>38</w:t>
            </w:r>
            <w:r>
              <w:rPr>
                <w:rFonts w:ascii="Arial" w:hAnsi="Arial" w:cs="Arial"/>
                <w:b/>
              </w:rPr>
              <w:t xml:space="preserve"> DE LA LEY 1952 DE 2019 (CÓDIGO GENERAL DISCIPLINARIO)”.</w:t>
            </w:r>
          </w:p>
          <w:p w:rsidR="009E6101" w:rsidRPr="009F12A6" w:rsidRDefault="009E6101" w:rsidP="009F12A6">
            <w:pPr>
              <w:jc w:val="center"/>
              <w:rPr>
                <w:rFonts w:ascii="Arial" w:hAnsi="Arial" w:cs="Arial"/>
                <w:b/>
                <w:sz w:val="24"/>
                <w:szCs w:val="24"/>
              </w:rPr>
            </w:pPr>
          </w:p>
        </w:tc>
      </w:tr>
      <w:tr w:rsidR="009F12A6" w:rsidTr="00864004">
        <w:tc>
          <w:tcPr>
            <w:tcW w:w="4234" w:type="dxa"/>
          </w:tcPr>
          <w:p w:rsidR="00494BF7" w:rsidRPr="007C6441" w:rsidRDefault="00D72A63" w:rsidP="00494BF7">
            <w:pPr>
              <w:jc w:val="both"/>
              <w:rPr>
                <w:rFonts w:ascii="Arial" w:hAnsi="Arial" w:cs="Arial"/>
                <w:strike/>
                <w:sz w:val="24"/>
                <w:szCs w:val="24"/>
              </w:rPr>
            </w:pPr>
            <w:r w:rsidRPr="007C6441">
              <w:rPr>
                <w:rFonts w:ascii="Arial" w:hAnsi="Arial" w:cs="Arial"/>
                <w:b/>
                <w:strike/>
                <w:sz w:val="24"/>
                <w:szCs w:val="24"/>
              </w:rPr>
              <w:t xml:space="preserve">Artículo 1°. </w:t>
            </w:r>
            <w:r w:rsidR="00494BF7" w:rsidRPr="007C6441">
              <w:rPr>
                <w:rFonts w:ascii="Arial" w:hAnsi="Arial" w:cs="Arial"/>
                <w:b/>
                <w:strike/>
                <w:sz w:val="24"/>
                <w:szCs w:val="24"/>
              </w:rPr>
              <w:t>Objeto</w:t>
            </w:r>
            <w:r w:rsidR="00494BF7" w:rsidRPr="007C6441">
              <w:rPr>
                <w:rFonts w:ascii="Arial" w:hAnsi="Arial" w:cs="Arial"/>
                <w:strike/>
                <w:sz w:val="24"/>
                <w:szCs w:val="24"/>
              </w:rPr>
              <w:t xml:space="preserve">. La presente ley tiene por objeto, adicionar un numeral al artículo 57 de la Ley 1952 de 2019, en el sentido de tipificar como falta y sujetos de dicha ley, a aquellos representantes legales u ordenadores del gasto, funcionarios y/o contratistas de las áreas administrativas, </w:t>
            </w:r>
            <w:r w:rsidR="00494BF7" w:rsidRPr="007C6441">
              <w:rPr>
                <w:rFonts w:ascii="Arial" w:hAnsi="Arial" w:cs="Arial"/>
                <w:strike/>
                <w:sz w:val="24"/>
                <w:szCs w:val="24"/>
              </w:rPr>
              <w:lastRenderedPageBreak/>
              <w:t>financieras, de contratación y de gestión misional, de las entidades, empresas, fondos y patrimonios autónomos que obtengan durante dos (2) vigencias fiscales consecutivas negación o abstención de opinión a sus estados financieros</w:t>
            </w:r>
          </w:p>
          <w:p w:rsidR="009F12A6" w:rsidRPr="007C6441" w:rsidRDefault="009F12A6" w:rsidP="00B360BA">
            <w:pPr>
              <w:jc w:val="both"/>
              <w:rPr>
                <w:rFonts w:ascii="Arial" w:hAnsi="Arial" w:cs="Arial"/>
                <w:strike/>
                <w:sz w:val="24"/>
                <w:szCs w:val="24"/>
              </w:rPr>
            </w:pPr>
          </w:p>
        </w:tc>
        <w:tc>
          <w:tcPr>
            <w:tcW w:w="4234" w:type="dxa"/>
          </w:tcPr>
          <w:p w:rsidR="009F12A6" w:rsidRPr="00604CDE" w:rsidRDefault="004D30C4" w:rsidP="004901DE">
            <w:pPr>
              <w:jc w:val="both"/>
              <w:rPr>
                <w:rFonts w:ascii="Arial" w:hAnsi="Arial" w:cs="Arial"/>
                <w:sz w:val="24"/>
                <w:szCs w:val="24"/>
              </w:rPr>
            </w:pPr>
            <w:r w:rsidRPr="009F12A6">
              <w:rPr>
                <w:rFonts w:ascii="Arial" w:hAnsi="Arial" w:cs="Arial"/>
                <w:sz w:val="24"/>
                <w:szCs w:val="24"/>
              </w:rPr>
              <w:lastRenderedPageBreak/>
              <w:t>Artículo 1°. Objeto.</w:t>
            </w:r>
            <w:r>
              <w:rPr>
                <w:rFonts w:ascii="Arial" w:hAnsi="Arial" w:cs="Arial"/>
                <w:sz w:val="24"/>
                <w:szCs w:val="24"/>
              </w:rPr>
              <w:t xml:space="preserve"> </w:t>
            </w:r>
            <w:r w:rsidR="00604CDE" w:rsidRPr="00604CDE">
              <w:rPr>
                <w:rFonts w:ascii="Arial" w:hAnsi="Arial" w:cs="Arial"/>
                <w:sz w:val="24"/>
                <w:szCs w:val="24"/>
                <w:u w:val="single"/>
              </w:rPr>
              <w:t>La presente ley tiene por objeto</w:t>
            </w:r>
            <w:r w:rsidR="00604CDE" w:rsidRPr="00604CDE">
              <w:rPr>
                <w:rFonts w:ascii="Arial" w:hAnsi="Arial" w:cs="Arial"/>
                <w:color w:val="000000" w:themeColor="text1"/>
                <w:sz w:val="24"/>
                <w:szCs w:val="24"/>
                <w:u w:val="single"/>
              </w:rPr>
              <w:t xml:space="preserve"> incluir como deber funcional, el fenecimiento de las cuentas, por parte de los representantes legales</w:t>
            </w:r>
            <w:r w:rsidR="00604CDE">
              <w:rPr>
                <w:rFonts w:ascii="Arial" w:hAnsi="Arial" w:cs="Arial"/>
                <w:color w:val="000000" w:themeColor="text1"/>
                <w:sz w:val="24"/>
                <w:szCs w:val="24"/>
                <w:u w:val="single"/>
              </w:rPr>
              <w:t>,</w:t>
            </w:r>
            <w:r w:rsidR="00604CDE" w:rsidRPr="00604CDE">
              <w:rPr>
                <w:rFonts w:ascii="Arial" w:hAnsi="Arial" w:cs="Arial"/>
                <w:color w:val="000000" w:themeColor="text1"/>
                <w:sz w:val="24"/>
                <w:szCs w:val="24"/>
                <w:u w:val="single"/>
              </w:rPr>
              <w:t xml:space="preserve"> directores administrativos u ordenadores del gasto</w:t>
            </w:r>
            <w:r w:rsidR="00604CDE" w:rsidRPr="00604CDE">
              <w:rPr>
                <w:rFonts w:ascii="Arial" w:hAnsi="Arial" w:cs="Arial"/>
                <w:sz w:val="24"/>
                <w:szCs w:val="24"/>
                <w:u w:val="single"/>
              </w:rPr>
              <w:t xml:space="preserve"> </w:t>
            </w:r>
            <w:r w:rsidR="00604CDE">
              <w:rPr>
                <w:rFonts w:ascii="Arial" w:hAnsi="Arial" w:cs="Arial"/>
                <w:sz w:val="24"/>
                <w:szCs w:val="24"/>
                <w:u w:val="single"/>
              </w:rPr>
              <w:t xml:space="preserve">de las entidades </w:t>
            </w:r>
            <w:r w:rsidR="00604CDE" w:rsidRPr="00604CDE">
              <w:rPr>
                <w:rFonts w:ascii="Arial" w:hAnsi="Arial" w:cs="Arial"/>
                <w:sz w:val="24"/>
                <w:szCs w:val="24"/>
                <w:u w:val="single"/>
              </w:rPr>
              <w:t>estatales, empresas, fondos y p</w:t>
            </w:r>
            <w:r w:rsidR="00604CDE">
              <w:rPr>
                <w:rFonts w:ascii="Arial" w:hAnsi="Arial" w:cs="Arial"/>
                <w:sz w:val="24"/>
                <w:szCs w:val="24"/>
                <w:u w:val="single"/>
              </w:rPr>
              <w:t xml:space="preserve">atrimonios </w:t>
            </w:r>
            <w:r w:rsidR="00604CDE">
              <w:rPr>
                <w:rFonts w:ascii="Arial" w:hAnsi="Arial" w:cs="Arial"/>
                <w:sz w:val="24"/>
                <w:szCs w:val="24"/>
                <w:u w:val="single"/>
              </w:rPr>
              <w:lastRenderedPageBreak/>
              <w:t xml:space="preserve">autónomos del Estado, así como los </w:t>
            </w:r>
            <w:r w:rsidR="00604CDE" w:rsidRPr="00604CDE">
              <w:rPr>
                <w:rFonts w:ascii="Arial" w:hAnsi="Arial" w:cs="Arial"/>
                <w:sz w:val="24"/>
                <w:szCs w:val="24"/>
                <w:u w:val="single"/>
              </w:rPr>
              <w:t>contralores para el caso de los bancos</w:t>
            </w:r>
            <w:r w:rsidR="00604CDE" w:rsidRPr="006C4A5A">
              <w:rPr>
                <w:rFonts w:ascii="Arial" w:hAnsi="Arial" w:cs="Arial"/>
                <w:sz w:val="24"/>
                <w:szCs w:val="24"/>
              </w:rPr>
              <w:t xml:space="preserve"> </w:t>
            </w:r>
            <w:r w:rsidR="00604CDE" w:rsidRPr="00440E07">
              <w:rPr>
                <w:rFonts w:ascii="Arial" w:hAnsi="Arial" w:cs="Arial"/>
                <w:sz w:val="24"/>
                <w:szCs w:val="24"/>
                <w:u w:val="single"/>
              </w:rPr>
              <w:t>estatales.</w:t>
            </w:r>
          </w:p>
          <w:p w:rsidR="004901DE" w:rsidRPr="004901DE" w:rsidRDefault="004901DE" w:rsidP="004901DE">
            <w:pPr>
              <w:jc w:val="both"/>
              <w:rPr>
                <w:rFonts w:ascii="Arial" w:hAnsi="Arial" w:cs="Arial"/>
                <w:color w:val="000000" w:themeColor="text1"/>
                <w:sz w:val="24"/>
                <w:szCs w:val="24"/>
              </w:rPr>
            </w:pPr>
          </w:p>
        </w:tc>
      </w:tr>
      <w:tr w:rsidR="009F12A6" w:rsidTr="00864004">
        <w:tc>
          <w:tcPr>
            <w:tcW w:w="4234" w:type="dxa"/>
          </w:tcPr>
          <w:p w:rsidR="00E52094" w:rsidRPr="007C6441" w:rsidRDefault="00E52094" w:rsidP="00E52094">
            <w:pPr>
              <w:jc w:val="both"/>
              <w:rPr>
                <w:rFonts w:ascii="Arial" w:hAnsi="Arial" w:cs="Arial"/>
                <w:strike/>
                <w:sz w:val="24"/>
                <w:szCs w:val="24"/>
              </w:rPr>
            </w:pPr>
            <w:r w:rsidRPr="007C6441">
              <w:rPr>
                <w:rFonts w:ascii="Arial" w:hAnsi="Arial" w:cs="Arial"/>
                <w:b/>
                <w:strike/>
                <w:sz w:val="24"/>
                <w:szCs w:val="24"/>
              </w:rPr>
              <w:lastRenderedPageBreak/>
              <w:t>Artículo 2°.</w:t>
            </w:r>
            <w:r w:rsidRPr="007C6441">
              <w:rPr>
                <w:rFonts w:ascii="Arial" w:hAnsi="Arial" w:cs="Arial"/>
                <w:strike/>
                <w:sz w:val="24"/>
                <w:szCs w:val="24"/>
              </w:rPr>
              <w:t xml:space="preserve"> Adiciónese el numeral 19 del artículo 57 de la Ley 1952 de 2019, el cual quedarán así: </w:t>
            </w:r>
          </w:p>
          <w:p w:rsidR="00E52094" w:rsidRPr="007C6441" w:rsidRDefault="00E52094" w:rsidP="00E52094">
            <w:pPr>
              <w:jc w:val="both"/>
              <w:rPr>
                <w:rFonts w:ascii="Arial" w:hAnsi="Arial" w:cs="Arial"/>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strike/>
                <w:sz w:val="24"/>
                <w:szCs w:val="24"/>
              </w:rPr>
              <w:t>Artículo 57. Faltas relacionadas con la hacienda pública.</w:t>
            </w:r>
          </w:p>
          <w:p w:rsidR="00E52094" w:rsidRPr="007C6441" w:rsidRDefault="00E52094" w:rsidP="00E52094">
            <w:pPr>
              <w:jc w:val="both"/>
              <w:rPr>
                <w:rFonts w:ascii="Arial" w:hAnsi="Arial" w:cs="Arial"/>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strike/>
                <w:sz w:val="24"/>
                <w:szCs w:val="24"/>
              </w:rPr>
              <w:t>(…)</w:t>
            </w:r>
          </w:p>
          <w:p w:rsidR="00E52094" w:rsidRPr="007C6441" w:rsidRDefault="00E52094" w:rsidP="00E52094">
            <w:pPr>
              <w:jc w:val="both"/>
              <w:rPr>
                <w:rFonts w:ascii="Arial" w:hAnsi="Arial" w:cs="Arial"/>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strike/>
                <w:sz w:val="24"/>
                <w:szCs w:val="24"/>
              </w:rPr>
              <w:t>19. Obtener abstención o negación de opinión a los estados financiaros durante dos vigencias fiscales consecutivas, que no permitan fenecer la cuenta fiscal de conformidad con el dictamen proferido por la Contraloría General de la Republica.</w:t>
            </w:r>
          </w:p>
          <w:p w:rsidR="00E52094" w:rsidRPr="007C6441" w:rsidRDefault="00E52094" w:rsidP="00E52094">
            <w:pPr>
              <w:jc w:val="both"/>
              <w:rPr>
                <w:rFonts w:ascii="Arial" w:hAnsi="Arial" w:cs="Arial"/>
                <w:b/>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b/>
                <w:strike/>
                <w:sz w:val="24"/>
                <w:szCs w:val="24"/>
              </w:rPr>
              <w:t>Parágrafo</w:t>
            </w:r>
            <w:r w:rsidRPr="007C6441">
              <w:rPr>
                <w:rFonts w:ascii="Arial" w:hAnsi="Arial" w:cs="Arial"/>
                <w:strike/>
                <w:sz w:val="24"/>
                <w:szCs w:val="24"/>
              </w:rPr>
              <w:t>: Para lo dispuesto en el numeral anterior serán igualmente sujetos de esta acción los directores de las áreas administrativas, financieras y Revisores Fiscales y contralores para el caso de los bancos estatales cuyas actuaciones u omisiones tengan relación directa, con ocasión de sus funciones, con el no fenecimiento de la cuenta fiscal. Sin perjuicio de la configuración en favor del sujeto destinatario de la acción disciplinaria, de la prescripción o caducidad consagrados en este código.</w:t>
            </w:r>
          </w:p>
          <w:p w:rsidR="00E52094" w:rsidRPr="007C6441" w:rsidRDefault="00E52094" w:rsidP="00E52094">
            <w:pPr>
              <w:jc w:val="both"/>
              <w:rPr>
                <w:rFonts w:ascii="Arial" w:hAnsi="Arial" w:cs="Arial"/>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strike/>
                <w:sz w:val="24"/>
                <w:szCs w:val="24"/>
              </w:rPr>
              <w:lastRenderedPageBreak/>
              <w:t>Igualmente serán objeto de acción disciplinaria los ex-representantes legales y ex-ordenadores del gasto.</w:t>
            </w:r>
          </w:p>
          <w:p w:rsidR="00E52094" w:rsidRPr="007C6441" w:rsidRDefault="00E52094" w:rsidP="00E52094">
            <w:pPr>
              <w:jc w:val="both"/>
              <w:rPr>
                <w:rFonts w:ascii="Arial" w:hAnsi="Arial" w:cs="Arial"/>
                <w:strike/>
                <w:sz w:val="24"/>
                <w:szCs w:val="24"/>
              </w:rPr>
            </w:pPr>
          </w:p>
          <w:p w:rsidR="00E52094" w:rsidRPr="007C6441" w:rsidRDefault="00E52094" w:rsidP="00E52094">
            <w:pPr>
              <w:jc w:val="both"/>
              <w:rPr>
                <w:rFonts w:ascii="Arial" w:hAnsi="Arial" w:cs="Arial"/>
                <w:strike/>
                <w:sz w:val="24"/>
                <w:szCs w:val="24"/>
              </w:rPr>
            </w:pPr>
            <w:r w:rsidRPr="007C6441">
              <w:rPr>
                <w:rFonts w:ascii="Arial" w:hAnsi="Arial" w:cs="Arial"/>
                <w:strike/>
                <w:sz w:val="24"/>
                <w:szCs w:val="24"/>
              </w:rPr>
              <w:t xml:space="preserve">Los ex directores de las áreas administrativas, financieras y ex Revisores Fiscales y ex Contralores para el caso de los bancos estatales, así no se encuentren ocupando el cargo, pero que al momento de la presentación de la auditoría al Balance General Estado de Situación Financiera tenían a su cargo el fenecimiento de las cuentas fiscales durante las dos (2) últimas vigencias consecutivas. </w:t>
            </w:r>
          </w:p>
          <w:p w:rsidR="009F12A6" w:rsidRPr="007C6441" w:rsidRDefault="009F12A6" w:rsidP="00202FE4">
            <w:pPr>
              <w:jc w:val="both"/>
              <w:rPr>
                <w:rFonts w:ascii="Arial" w:hAnsi="Arial" w:cs="Arial"/>
                <w:strike/>
                <w:sz w:val="24"/>
                <w:szCs w:val="24"/>
              </w:rPr>
            </w:pPr>
          </w:p>
        </w:tc>
        <w:tc>
          <w:tcPr>
            <w:tcW w:w="4234" w:type="dxa"/>
          </w:tcPr>
          <w:p w:rsidR="004901DE" w:rsidRDefault="004901DE" w:rsidP="004901DE">
            <w:pPr>
              <w:jc w:val="both"/>
              <w:rPr>
                <w:rFonts w:ascii="Arial" w:hAnsi="Arial" w:cs="Arial"/>
                <w:sz w:val="24"/>
                <w:szCs w:val="24"/>
              </w:rPr>
            </w:pPr>
            <w:r w:rsidRPr="009F12A6">
              <w:rPr>
                <w:rFonts w:ascii="Arial" w:hAnsi="Arial" w:cs="Arial"/>
                <w:sz w:val="24"/>
                <w:szCs w:val="24"/>
              </w:rPr>
              <w:lastRenderedPageBreak/>
              <w:t>Artícu</w:t>
            </w:r>
            <w:r>
              <w:rPr>
                <w:rFonts w:ascii="Arial" w:hAnsi="Arial" w:cs="Arial"/>
                <w:sz w:val="24"/>
                <w:szCs w:val="24"/>
              </w:rPr>
              <w:t xml:space="preserve">lo 2°. </w:t>
            </w:r>
            <w:r w:rsidR="008259E9">
              <w:rPr>
                <w:rFonts w:ascii="Arial" w:hAnsi="Arial" w:cs="Arial"/>
                <w:sz w:val="24"/>
                <w:szCs w:val="24"/>
              </w:rPr>
              <w:t>Adiciónese</w:t>
            </w:r>
            <w:r>
              <w:rPr>
                <w:rFonts w:ascii="Arial" w:hAnsi="Arial" w:cs="Arial"/>
                <w:sz w:val="24"/>
                <w:szCs w:val="24"/>
              </w:rPr>
              <w:t xml:space="preserve"> el numeral 44 al artículo 38</w:t>
            </w:r>
            <w:r w:rsidRPr="009F12A6">
              <w:rPr>
                <w:rFonts w:ascii="Arial" w:hAnsi="Arial" w:cs="Arial"/>
                <w:sz w:val="24"/>
                <w:szCs w:val="24"/>
              </w:rPr>
              <w:t xml:space="preserve"> de la Ley 1952 de 2019, el cual quedarán así: </w:t>
            </w:r>
          </w:p>
          <w:p w:rsidR="002514A7" w:rsidRDefault="002514A7" w:rsidP="00A246AD">
            <w:pPr>
              <w:jc w:val="both"/>
              <w:rPr>
                <w:rFonts w:ascii="Arial" w:hAnsi="Arial" w:cs="Arial"/>
                <w:sz w:val="24"/>
                <w:szCs w:val="24"/>
              </w:rPr>
            </w:pPr>
          </w:p>
          <w:p w:rsidR="00C93C4A" w:rsidRPr="009801E8" w:rsidRDefault="00577111" w:rsidP="00577111">
            <w:pPr>
              <w:pStyle w:val="Prrafodelista"/>
              <w:spacing w:line="264" w:lineRule="auto"/>
              <w:ind w:left="0"/>
              <w:jc w:val="both"/>
              <w:rPr>
                <w:rFonts w:ascii="Arial" w:hAnsi="Arial" w:cs="Arial"/>
                <w:color w:val="000000" w:themeColor="text1"/>
                <w:sz w:val="24"/>
                <w:szCs w:val="24"/>
                <w:u w:val="single"/>
              </w:rPr>
            </w:pPr>
            <w:r w:rsidRPr="00A3655E">
              <w:rPr>
                <w:rFonts w:ascii="Arial" w:hAnsi="Arial" w:cs="Arial"/>
                <w:sz w:val="24"/>
                <w:szCs w:val="24"/>
              </w:rPr>
              <w:t xml:space="preserve">44. </w:t>
            </w:r>
            <w:r w:rsidR="00440E07" w:rsidRPr="009801E8">
              <w:rPr>
                <w:rFonts w:ascii="Arial" w:hAnsi="Arial" w:cs="Arial"/>
                <w:sz w:val="24"/>
                <w:szCs w:val="24"/>
                <w:u w:val="single"/>
              </w:rPr>
              <w:t xml:space="preserve">Fenecer la cuenta fiscal individual de las entidades estatales, empresas, fondos y patrimonios autónomos del Estado </w:t>
            </w:r>
            <w:r w:rsidR="00440E07" w:rsidRPr="009801E8">
              <w:rPr>
                <w:rFonts w:ascii="Arial" w:hAnsi="Arial" w:cs="Arial"/>
                <w:color w:val="000000" w:themeColor="text1"/>
                <w:sz w:val="24"/>
                <w:szCs w:val="24"/>
                <w:u w:val="single"/>
              </w:rPr>
              <w:t>en la correspondiente vigencia fiscal</w:t>
            </w:r>
          </w:p>
          <w:p w:rsidR="00C93C4A" w:rsidRPr="009801E8" w:rsidRDefault="00C93C4A" w:rsidP="00577111">
            <w:pPr>
              <w:pStyle w:val="Prrafodelista"/>
              <w:spacing w:line="264" w:lineRule="auto"/>
              <w:ind w:left="0"/>
              <w:jc w:val="both"/>
              <w:rPr>
                <w:rFonts w:ascii="Arial" w:hAnsi="Arial" w:cs="Arial"/>
                <w:color w:val="000000" w:themeColor="text1"/>
                <w:sz w:val="24"/>
                <w:szCs w:val="24"/>
                <w:u w:val="single"/>
              </w:rPr>
            </w:pPr>
          </w:p>
          <w:p w:rsidR="00440E07" w:rsidRPr="009801E8" w:rsidRDefault="00440E07" w:rsidP="00440E07">
            <w:pPr>
              <w:jc w:val="both"/>
              <w:rPr>
                <w:rFonts w:ascii="Arial" w:hAnsi="Arial" w:cs="Arial"/>
                <w:strike/>
                <w:sz w:val="24"/>
                <w:szCs w:val="24"/>
                <w:u w:val="single"/>
              </w:rPr>
            </w:pPr>
            <w:r w:rsidRPr="009801E8">
              <w:rPr>
                <w:rFonts w:ascii="Arial" w:hAnsi="Arial" w:cs="Arial"/>
                <w:sz w:val="24"/>
                <w:szCs w:val="24"/>
                <w:u w:val="single"/>
              </w:rPr>
              <w:t xml:space="preserve">Parágrafo: En los términos del numeral 44 del presente artículo, serán objeto de investigación disciplinaria </w:t>
            </w:r>
            <w:r w:rsidRPr="009801E8">
              <w:rPr>
                <w:rFonts w:ascii="Arial" w:hAnsi="Arial" w:cs="Arial"/>
                <w:color w:val="000000" w:themeColor="text1"/>
                <w:sz w:val="24"/>
                <w:szCs w:val="24"/>
                <w:u w:val="single"/>
              </w:rPr>
              <w:t xml:space="preserve">los representantes legales u ordenadores del gasto, directores administrativos, </w:t>
            </w:r>
            <w:r w:rsidRPr="009801E8">
              <w:rPr>
                <w:rFonts w:ascii="Arial" w:hAnsi="Arial" w:cs="Arial"/>
                <w:sz w:val="24"/>
                <w:szCs w:val="24"/>
                <w:u w:val="single"/>
              </w:rPr>
              <w:t>contralores para el caso de los bancos estatales</w:t>
            </w:r>
            <w:r w:rsidRPr="009801E8">
              <w:rPr>
                <w:rFonts w:ascii="Arial" w:hAnsi="Arial" w:cs="Arial"/>
                <w:color w:val="000000" w:themeColor="text1"/>
                <w:sz w:val="24"/>
                <w:szCs w:val="24"/>
                <w:u w:val="single"/>
              </w:rPr>
              <w:t xml:space="preserve"> </w:t>
            </w:r>
            <w:r w:rsidRPr="009801E8">
              <w:rPr>
                <w:rFonts w:ascii="Arial" w:hAnsi="Arial" w:cs="Arial"/>
                <w:sz w:val="24"/>
                <w:szCs w:val="24"/>
                <w:u w:val="single"/>
              </w:rPr>
              <w:t>o quien haga sus veces, que en el ejercicio de sus funciones se compruebe el mayor grado de inobservancia, descuido o desatención elemental</w:t>
            </w:r>
            <w:r w:rsidRPr="009801E8">
              <w:rPr>
                <w:rFonts w:ascii="Arial" w:hAnsi="Arial" w:cs="Arial"/>
                <w:i/>
                <w:sz w:val="24"/>
                <w:szCs w:val="24"/>
                <w:u w:val="single"/>
              </w:rPr>
              <w:t xml:space="preserve"> </w:t>
            </w:r>
            <w:r w:rsidRPr="009801E8">
              <w:rPr>
                <w:rFonts w:ascii="Arial" w:hAnsi="Arial" w:cs="Arial"/>
                <w:sz w:val="24"/>
                <w:szCs w:val="24"/>
                <w:u w:val="single"/>
              </w:rPr>
              <w:t>al deber de fenecimiento de las cuentas fiscales, así no se encuentren ocupando el cargo, siempre y cuando se genere durante las dos (2) últimas vigencias fiscales consecutivas, la negación o abstención de opinión de los estados financieros y de la ejecución presupuestal  por parte de la Contraloría General de la Republica en el ejercicio del control fiscal.</w:t>
            </w:r>
          </w:p>
          <w:p w:rsidR="00440E07" w:rsidRPr="009801E8" w:rsidRDefault="00440E07" w:rsidP="00440E07">
            <w:pPr>
              <w:pStyle w:val="Prrafodelista"/>
              <w:spacing w:line="264" w:lineRule="auto"/>
              <w:ind w:left="0"/>
              <w:jc w:val="both"/>
              <w:rPr>
                <w:rFonts w:ascii="Arial" w:hAnsi="Arial" w:cs="Arial"/>
                <w:sz w:val="24"/>
                <w:szCs w:val="24"/>
                <w:u w:val="single"/>
              </w:rPr>
            </w:pPr>
          </w:p>
          <w:p w:rsidR="00440E07" w:rsidRPr="006C4A5A" w:rsidRDefault="00440E07" w:rsidP="00440E07">
            <w:pPr>
              <w:jc w:val="both"/>
              <w:rPr>
                <w:rFonts w:ascii="Arial" w:hAnsi="Arial" w:cs="Arial"/>
                <w:color w:val="002060"/>
                <w:sz w:val="24"/>
                <w:szCs w:val="24"/>
              </w:rPr>
            </w:pPr>
            <w:r w:rsidRPr="009801E8">
              <w:rPr>
                <w:rFonts w:ascii="Arial" w:hAnsi="Arial" w:cs="Arial"/>
                <w:sz w:val="24"/>
                <w:szCs w:val="24"/>
                <w:u w:val="single"/>
              </w:rPr>
              <w:t xml:space="preserve">El no fenecimiento individual de las cuentas puede ser considerado un </w:t>
            </w:r>
            <w:r w:rsidRPr="009801E8">
              <w:rPr>
                <w:rFonts w:ascii="Arial" w:hAnsi="Arial" w:cs="Arial"/>
                <w:sz w:val="24"/>
                <w:szCs w:val="24"/>
                <w:u w:val="single"/>
              </w:rPr>
              <w:lastRenderedPageBreak/>
              <w:t xml:space="preserve">elemento adicional para el no fenecimiento de la cuenta general del presupuesto y del tesoro por parte de la Cámara de Representantes. </w:t>
            </w:r>
          </w:p>
          <w:p w:rsidR="00577111" w:rsidRPr="00367E63" w:rsidRDefault="00577111" w:rsidP="00577111">
            <w:pPr>
              <w:pStyle w:val="Prrafodelista"/>
              <w:spacing w:line="264" w:lineRule="auto"/>
              <w:ind w:left="0"/>
              <w:jc w:val="both"/>
              <w:rPr>
                <w:rFonts w:ascii="Arial" w:hAnsi="Arial" w:cs="Arial"/>
                <w:sz w:val="24"/>
                <w:szCs w:val="24"/>
                <w:u w:val="single"/>
              </w:rPr>
            </w:pPr>
          </w:p>
          <w:p w:rsidR="00517298" w:rsidRDefault="00517298" w:rsidP="002201E0">
            <w:pPr>
              <w:pStyle w:val="Prrafodelista"/>
              <w:spacing w:line="264" w:lineRule="auto"/>
              <w:ind w:left="0"/>
              <w:jc w:val="both"/>
              <w:rPr>
                <w:rFonts w:ascii="Arial" w:hAnsi="Arial" w:cs="Arial"/>
                <w:sz w:val="24"/>
                <w:szCs w:val="24"/>
              </w:rPr>
            </w:pPr>
          </w:p>
        </w:tc>
      </w:tr>
      <w:tr w:rsidR="009F12A6" w:rsidTr="00864004">
        <w:tc>
          <w:tcPr>
            <w:tcW w:w="4234" w:type="dxa"/>
          </w:tcPr>
          <w:p w:rsidR="00E52094" w:rsidRPr="00367E63" w:rsidRDefault="00E52094" w:rsidP="00E52094">
            <w:pPr>
              <w:jc w:val="both"/>
              <w:rPr>
                <w:rFonts w:ascii="Arial" w:hAnsi="Arial" w:cs="Arial"/>
                <w:sz w:val="24"/>
                <w:szCs w:val="24"/>
              </w:rPr>
            </w:pPr>
            <w:r w:rsidRPr="00367E63">
              <w:rPr>
                <w:rFonts w:ascii="Arial" w:hAnsi="Arial" w:cs="Arial"/>
                <w:b/>
                <w:sz w:val="24"/>
                <w:szCs w:val="24"/>
              </w:rPr>
              <w:lastRenderedPageBreak/>
              <w:t>Artículo 3°.</w:t>
            </w:r>
            <w:r w:rsidRPr="00367E63">
              <w:rPr>
                <w:rFonts w:ascii="Arial" w:hAnsi="Arial" w:cs="Arial"/>
                <w:sz w:val="24"/>
                <w:szCs w:val="24"/>
              </w:rPr>
              <w:t xml:space="preserve"> </w:t>
            </w:r>
            <w:r w:rsidRPr="00367E63">
              <w:rPr>
                <w:rFonts w:ascii="Arial" w:hAnsi="Arial" w:cs="Arial"/>
                <w:b/>
                <w:sz w:val="24"/>
                <w:szCs w:val="24"/>
              </w:rPr>
              <w:t>Vigencia.</w:t>
            </w:r>
            <w:r w:rsidRPr="00367E63">
              <w:rPr>
                <w:rFonts w:ascii="Arial" w:hAnsi="Arial" w:cs="Arial"/>
                <w:sz w:val="24"/>
                <w:szCs w:val="24"/>
              </w:rPr>
              <w:t xml:space="preserve">  La presente ley entrará en vigencia a partir del 1° de julio de 2021.</w:t>
            </w:r>
          </w:p>
          <w:p w:rsidR="009F12A6" w:rsidRPr="009F12A6" w:rsidRDefault="009F12A6" w:rsidP="009F12A6">
            <w:pPr>
              <w:jc w:val="both"/>
              <w:rPr>
                <w:rFonts w:ascii="Arial" w:hAnsi="Arial" w:cs="Arial"/>
                <w:sz w:val="24"/>
                <w:szCs w:val="24"/>
              </w:rPr>
            </w:pPr>
          </w:p>
        </w:tc>
        <w:tc>
          <w:tcPr>
            <w:tcW w:w="4234" w:type="dxa"/>
          </w:tcPr>
          <w:p w:rsidR="009F12A6" w:rsidRDefault="00577111" w:rsidP="00A246AD">
            <w:pPr>
              <w:jc w:val="both"/>
              <w:rPr>
                <w:rFonts w:ascii="Arial" w:hAnsi="Arial" w:cs="Arial"/>
                <w:sz w:val="24"/>
                <w:szCs w:val="24"/>
              </w:rPr>
            </w:pPr>
            <w:r>
              <w:rPr>
                <w:rFonts w:ascii="Arial" w:hAnsi="Arial" w:cs="Arial"/>
                <w:sz w:val="24"/>
                <w:szCs w:val="24"/>
              </w:rPr>
              <w:t>SE MANTIENE IGUAL</w:t>
            </w:r>
          </w:p>
        </w:tc>
      </w:tr>
    </w:tbl>
    <w:p w:rsidR="00367E63" w:rsidRDefault="00367E63" w:rsidP="00367E63">
      <w:pPr>
        <w:spacing w:after="0"/>
        <w:ind w:left="360"/>
        <w:jc w:val="both"/>
        <w:rPr>
          <w:rFonts w:ascii="Arial" w:hAnsi="Arial" w:cs="Arial"/>
          <w:sz w:val="24"/>
          <w:szCs w:val="24"/>
        </w:rPr>
      </w:pPr>
    </w:p>
    <w:p w:rsidR="00367E63" w:rsidRDefault="00367E63" w:rsidP="00367E63">
      <w:pPr>
        <w:spacing w:after="0"/>
        <w:jc w:val="both"/>
        <w:rPr>
          <w:rFonts w:ascii="Arial" w:hAnsi="Arial" w:cs="Arial"/>
          <w:b/>
          <w:sz w:val="24"/>
          <w:szCs w:val="24"/>
        </w:rPr>
      </w:pPr>
    </w:p>
    <w:p w:rsidR="006D4187" w:rsidRDefault="00A246AD" w:rsidP="00367E63">
      <w:pPr>
        <w:spacing w:after="0"/>
        <w:jc w:val="both"/>
        <w:rPr>
          <w:rFonts w:ascii="Arial" w:hAnsi="Arial" w:cs="Arial"/>
          <w:b/>
          <w:sz w:val="24"/>
          <w:szCs w:val="24"/>
        </w:rPr>
      </w:pPr>
      <w:r w:rsidRPr="00A246AD">
        <w:rPr>
          <w:rFonts w:ascii="Arial" w:hAnsi="Arial" w:cs="Arial"/>
          <w:b/>
          <w:sz w:val="24"/>
          <w:szCs w:val="24"/>
        </w:rPr>
        <w:t xml:space="preserve">PROPOSICIÓN </w:t>
      </w:r>
    </w:p>
    <w:p w:rsidR="00367E63" w:rsidRDefault="00367E63" w:rsidP="00367E63">
      <w:pPr>
        <w:spacing w:after="0"/>
        <w:jc w:val="both"/>
        <w:rPr>
          <w:rFonts w:ascii="Arial" w:hAnsi="Arial" w:cs="Arial"/>
          <w:b/>
          <w:sz w:val="24"/>
          <w:szCs w:val="24"/>
        </w:rPr>
      </w:pPr>
    </w:p>
    <w:p w:rsidR="007C6441" w:rsidRDefault="00A246AD" w:rsidP="007C6441">
      <w:pPr>
        <w:jc w:val="both"/>
        <w:rPr>
          <w:rFonts w:ascii="Arial" w:hAnsi="Arial" w:cs="Arial"/>
          <w:b/>
        </w:rPr>
      </w:pPr>
      <w:r w:rsidRPr="00312AEC">
        <w:rPr>
          <w:rFonts w:ascii="Arial" w:hAnsi="Arial" w:cs="Arial"/>
          <w:sz w:val="24"/>
          <w:szCs w:val="24"/>
        </w:rPr>
        <w:t>En virtud de las consideraciones a</w:t>
      </w:r>
      <w:r>
        <w:rPr>
          <w:rFonts w:ascii="Arial" w:hAnsi="Arial" w:cs="Arial"/>
          <w:sz w:val="24"/>
          <w:szCs w:val="24"/>
        </w:rPr>
        <w:t xml:space="preserve">nteriormente expuestas, </w:t>
      </w:r>
      <w:r w:rsidR="001870AE">
        <w:rPr>
          <w:rFonts w:ascii="Arial" w:hAnsi="Arial" w:cs="Arial"/>
          <w:sz w:val="24"/>
          <w:szCs w:val="24"/>
        </w:rPr>
        <w:t xml:space="preserve">y al pliego de modificaciones </w:t>
      </w:r>
      <w:r>
        <w:rPr>
          <w:rFonts w:ascii="Arial" w:hAnsi="Arial" w:cs="Arial"/>
          <w:sz w:val="24"/>
          <w:szCs w:val="24"/>
        </w:rPr>
        <w:t>solicitamos</w:t>
      </w:r>
      <w:r w:rsidRPr="00312AEC">
        <w:rPr>
          <w:rFonts w:ascii="Arial" w:hAnsi="Arial" w:cs="Arial"/>
          <w:sz w:val="24"/>
          <w:szCs w:val="24"/>
        </w:rPr>
        <w:t xml:space="preserve"> a </w:t>
      </w:r>
      <w:r w:rsidR="006E45FC">
        <w:rPr>
          <w:rFonts w:ascii="Arial" w:hAnsi="Arial" w:cs="Arial"/>
          <w:sz w:val="24"/>
          <w:szCs w:val="24"/>
        </w:rPr>
        <w:t xml:space="preserve">la plenaria </w:t>
      </w:r>
      <w:r w:rsidRPr="00312AEC">
        <w:rPr>
          <w:rFonts w:ascii="Arial" w:hAnsi="Arial" w:cs="Arial"/>
          <w:sz w:val="24"/>
          <w:szCs w:val="24"/>
        </w:rPr>
        <w:t xml:space="preserve">de la </w:t>
      </w:r>
      <w:r w:rsidR="006E45FC">
        <w:rPr>
          <w:rFonts w:ascii="Arial" w:hAnsi="Arial" w:cs="Arial"/>
          <w:sz w:val="24"/>
          <w:szCs w:val="24"/>
        </w:rPr>
        <w:t xml:space="preserve">H. </w:t>
      </w:r>
      <w:r w:rsidRPr="00312AEC">
        <w:rPr>
          <w:rFonts w:ascii="Arial" w:hAnsi="Arial" w:cs="Arial"/>
          <w:sz w:val="24"/>
          <w:szCs w:val="24"/>
        </w:rPr>
        <w:t xml:space="preserve">Cámara de Representantes </w:t>
      </w:r>
      <w:r w:rsidRPr="00C14269">
        <w:rPr>
          <w:rFonts w:ascii="Arial" w:hAnsi="Arial" w:cs="Arial"/>
          <w:sz w:val="24"/>
          <w:szCs w:val="24"/>
        </w:rPr>
        <w:t xml:space="preserve">dar </w:t>
      </w:r>
      <w:r w:rsidR="006E45FC">
        <w:rPr>
          <w:rFonts w:ascii="Arial" w:hAnsi="Arial" w:cs="Arial"/>
          <w:sz w:val="24"/>
          <w:szCs w:val="24"/>
        </w:rPr>
        <w:t>segundo</w:t>
      </w:r>
      <w:r w:rsidRPr="00C14269">
        <w:rPr>
          <w:rFonts w:ascii="Arial" w:hAnsi="Arial" w:cs="Arial"/>
          <w:sz w:val="24"/>
          <w:szCs w:val="24"/>
        </w:rPr>
        <w:t xml:space="preserve"> debate</w:t>
      </w:r>
      <w:r w:rsidRPr="00312AEC">
        <w:rPr>
          <w:rFonts w:ascii="Arial" w:hAnsi="Arial" w:cs="Arial"/>
          <w:sz w:val="24"/>
          <w:szCs w:val="24"/>
        </w:rPr>
        <w:t xml:space="preserve"> </w:t>
      </w:r>
      <w:r>
        <w:rPr>
          <w:rFonts w:ascii="Arial" w:hAnsi="Arial" w:cs="Arial"/>
          <w:sz w:val="24"/>
          <w:szCs w:val="24"/>
        </w:rPr>
        <w:t xml:space="preserve">al </w:t>
      </w:r>
      <w:r w:rsidR="007C6441">
        <w:rPr>
          <w:rFonts w:ascii="Arial" w:hAnsi="Arial" w:cs="Arial"/>
          <w:b/>
        </w:rPr>
        <w:t xml:space="preserve">PROYECTO DE LEY No. 145 DE 2019 CÁMARA “POR MEDIO DEL CUAL SE ADICIONA UN NUMERAL AL ARTÍCULO </w:t>
      </w:r>
      <w:r w:rsidR="007C6441" w:rsidRPr="007C6441">
        <w:rPr>
          <w:rFonts w:ascii="Arial" w:hAnsi="Arial" w:cs="Arial"/>
          <w:b/>
        </w:rPr>
        <w:t>57</w:t>
      </w:r>
      <w:r w:rsidR="007C6441">
        <w:rPr>
          <w:rFonts w:ascii="Arial" w:hAnsi="Arial" w:cs="Arial"/>
          <w:b/>
        </w:rPr>
        <w:t xml:space="preserve"> DE LA LEY 1952 DE 2019 (CÓDIGO GENERAL DISCIPLINARIO)”.</w:t>
      </w:r>
    </w:p>
    <w:p w:rsidR="001870AE" w:rsidRDefault="001870AE" w:rsidP="007C6441">
      <w:pPr>
        <w:jc w:val="both"/>
        <w:rPr>
          <w:rFonts w:ascii="Arial" w:hAnsi="Arial" w:cs="Arial"/>
          <w:b/>
        </w:rPr>
      </w:pPr>
    </w:p>
    <w:p w:rsidR="001870AE" w:rsidRDefault="001870AE" w:rsidP="007C6441">
      <w:pPr>
        <w:jc w:val="both"/>
        <w:rPr>
          <w:rFonts w:ascii="Arial" w:hAnsi="Arial" w:cs="Arial"/>
          <w:b/>
        </w:rPr>
      </w:pPr>
    </w:p>
    <w:p w:rsidR="00D760CB" w:rsidRPr="00286C4C" w:rsidRDefault="00D760CB" w:rsidP="007C6441">
      <w:pPr>
        <w:spacing w:after="0"/>
        <w:jc w:val="both"/>
        <w:rPr>
          <w:rFonts w:ascii="Arial" w:hAnsi="Arial" w:cs="Arial"/>
          <w:sz w:val="24"/>
          <w:szCs w:val="24"/>
        </w:rPr>
      </w:pPr>
    </w:p>
    <w:p w:rsidR="00D311B1" w:rsidRPr="00D760CB" w:rsidRDefault="00D311B1" w:rsidP="00D760CB">
      <w:pPr>
        <w:jc w:val="both"/>
        <w:rPr>
          <w:rFonts w:ascii="Arial" w:hAnsi="Arial" w:cs="Arial"/>
          <w:sz w:val="24"/>
          <w:szCs w:val="24"/>
        </w:rPr>
      </w:pPr>
    </w:p>
    <w:p w:rsidR="00D760CB" w:rsidRPr="00D760CB" w:rsidRDefault="00D760CB" w:rsidP="00D760CB">
      <w:pPr>
        <w:jc w:val="both"/>
        <w:rPr>
          <w:rFonts w:ascii="Arial" w:hAnsi="Arial" w:cs="Arial"/>
          <w:sz w:val="24"/>
          <w:szCs w:val="24"/>
        </w:rPr>
      </w:pPr>
    </w:p>
    <w:p w:rsidR="00D760CB" w:rsidRDefault="00864004" w:rsidP="00673E8C">
      <w:pPr>
        <w:rPr>
          <w:rFonts w:ascii="Arial" w:hAnsi="Arial" w:cs="Arial"/>
          <w:b/>
          <w:sz w:val="24"/>
          <w:szCs w:val="24"/>
        </w:rPr>
      </w:pPr>
      <w:r>
        <w:rPr>
          <w:rFonts w:ascii="Arial" w:hAnsi="Arial" w:cs="Arial"/>
          <w:b/>
          <w:sz w:val="24"/>
          <w:szCs w:val="24"/>
        </w:rPr>
        <w:t>OSCAR SANCHEZ LEÓN</w:t>
      </w:r>
      <w:r w:rsidR="00673E8C">
        <w:rPr>
          <w:rFonts w:ascii="Arial" w:hAnsi="Arial" w:cs="Arial"/>
          <w:b/>
          <w:sz w:val="24"/>
          <w:szCs w:val="24"/>
        </w:rPr>
        <w:t xml:space="preserve"> </w:t>
      </w:r>
      <w:r w:rsidR="00673E8C">
        <w:rPr>
          <w:rFonts w:ascii="Arial" w:hAnsi="Arial" w:cs="Arial"/>
          <w:b/>
          <w:sz w:val="24"/>
          <w:szCs w:val="24"/>
        </w:rPr>
        <w:br/>
      </w:r>
      <w:r w:rsidR="00673E8C" w:rsidRPr="00673E8C">
        <w:rPr>
          <w:rFonts w:ascii="Arial" w:hAnsi="Arial" w:cs="Arial"/>
          <w:sz w:val="24"/>
          <w:szCs w:val="24"/>
        </w:rPr>
        <w:t>Representante a la Cámara</w:t>
      </w:r>
      <w:r w:rsidR="00D760CB" w:rsidRPr="00D760CB">
        <w:rPr>
          <w:rFonts w:ascii="Arial" w:hAnsi="Arial" w:cs="Arial"/>
          <w:b/>
          <w:sz w:val="24"/>
          <w:szCs w:val="24"/>
        </w:rPr>
        <w:t xml:space="preserve">                </w:t>
      </w:r>
    </w:p>
    <w:p w:rsidR="00440E07" w:rsidRDefault="00440E07" w:rsidP="00440E07">
      <w:pPr>
        <w:spacing w:after="0"/>
        <w:jc w:val="center"/>
        <w:rPr>
          <w:rFonts w:ascii="Arial" w:hAnsi="Arial" w:cs="Arial"/>
          <w:b/>
          <w:sz w:val="24"/>
          <w:szCs w:val="24"/>
        </w:rPr>
      </w:pPr>
    </w:p>
    <w:p w:rsidR="00440E07" w:rsidRDefault="00440E07" w:rsidP="00440E07">
      <w:pPr>
        <w:spacing w:after="0"/>
        <w:jc w:val="center"/>
        <w:rPr>
          <w:rFonts w:ascii="Arial" w:hAnsi="Arial" w:cs="Arial"/>
          <w:b/>
          <w:sz w:val="24"/>
          <w:szCs w:val="24"/>
        </w:rPr>
      </w:pPr>
    </w:p>
    <w:p w:rsidR="007C6441" w:rsidRPr="001870AE" w:rsidRDefault="00673E8C" w:rsidP="007A59AD">
      <w:pPr>
        <w:spacing w:after="0"/>
        <w:jc w:val="center"/>
        <w:rPr>
          <w:rFonts w:ascii="Arial" w:hAnsi="Arial" w:cs="Arial"/>
          <w:b/>
        </w:rPr>
      </w:pPr>
      <w:r w:rsidRPr="001870AE">
        <w:rPr>
          <w:rFonts w:ascii="Arial" w:hAnsi="Arial" w:cs="Arial"/>
          <w:b/>
          <w:szCs w:val="24"/>
        </w:rPr>
        <w:lastRenderedPageBreak/>
        <w:t xml:space="preserve">TEXTO PROPUESTO PARA </w:t>
      </w:r>
      <w:r w:rsidR="000516A5" w:rsidRPr="001870AE">
        <w:rPr>
          <w:rFonts w:ascii="Arial" w:eastAsia="Times New Roman" w:hAnsi="Arial" w:cs="Arial"/>
          <w:b/>
          <w:bCs/>
          <w:szCs w:val="24"/>
          <w:lang w:eastAsia="es-CO"/>
        </w:rPr>
        <w:t>SEGUNDO</w:t>
      </w:r>
      <w:r w:rsidRPr="001870AE">
        <w:rPr>
          <w:rFonts w:ascii="Arial" w:eastAsia="Times New Roman" w:hAnsi="Arial" w:cs="Arial"/>
          <w:b/>
          <w:bCs/>
          <w:szCs w:val="24"/>
          <w:lang w:eastAsia="es-CO"/>
        </w:rPr>
        <w:t xml:space="preserve"> DEBATE</w:t>
      </w:r>
      <w:r w:rsidRPr="001870AE">
        <w:rPr>
          <w:rFonts w:ascii="Arial" w:hAnsi="Arial" w:cs="Arial"/>
          <w:b/>
        </w:rPr>
        <w:t xml:space="preserve"> DEL PROYECTO DE LEY No. 145 DE 2019 CÁMARA “POR MEDIO DEL CUAL SE AD</w:t>
      </w:r>
      <w:r w:rsidR="0035375D" w:rsidRPr="001870AE">
        <w:rPr>
          <w:rFonts w:ascii="Arial" w:hAnsi="Arial" w:cs="Arial"/>
          <w:b/>
        </w:rPr>
        <w:t>ICIONA UN NUMERAL AL ARTÍCULO 38</w:t>
      </w:r>
      <w:r w:rsidRPr="001870AE">
        <w:rPr>
          <w:rFonts w:ascii="Arial" w:hAnsi="Arial" w:cs="Arial"/>
          <w:b/>
        </w:rPr>
        <w:t xml:space="preserve"> DE LA LEY 1952 DE 2019 (CÓDIGO GENERAL DISCIPLINARIO)”.</w:t>
      </w:r>
    </w:p>
    <w:p w:rsidR="007C6441" w:rsidRPr="001870AE" w:rsidRDefault="001870AE" w:rsidP="001870AE">
      <w:pPr>
        <w:tabs>
          <w:tab w:val="left" w:pos="3045"/>
        </w:tabs>
        <w:spacing w:after="0" w:line="264" w:lineRule="auto"/>
        <w:jc w:val="both"/>
        <w:rPr>
          <w:rFonts w:ascii="Times New Roman" w:eastAsia="Times New Roman" w:hAnsi="Times New Roman" w:cs="Times New Roman"/>
          <w:b/>
          <w:sz w:val="20"/>
        </w:rPr>
      </w:pPr>
      <w:r>
        <w:rPr>
          <w:rFonts w:ascii="Times New Roman" w:eastAsia="Times New Roman" w:hAnsi="Times New Roman" w:cs="Times New Roman"/>
          <w:b/>
          <w:sz w:val="20"/>
        </w:rPr>
        <w:tab/>
      </w:r>
    </w:p>
    <w:p w:rsidR="0035375D" w:rsidRPr="001870AE" w:rsidRDefault="00673E8C" w:rsidP="00440E07">
      <w:pPr>
        <w:spacing w:after="0" w:line="264" w:lineRule="auto"/>
        <w:jc w:val="center"/>
        <w:rPr>
          <w:rFonts w:ascii="Arial" w:hAnsi="Arial" w:cs="Arial"/>
          <w:b/>
          <w:bCs/>
          <w:szCs w:val="24"/>
        </w:rPr>
      </w:pPr>
      <w:r w:rsidRPr="001870AE">
        <w:rPr>
          <w:rFonts w:ascii="Arial" w:hAnsi="Arial" w:cs="Arial"/>
          <w:b/>
          <w:bCs/>
          <w:szCs w:val="24"/>
        </w:rPr>
        <w:t>EL CONGRESO DE COLOMBIA</w:t>
      </w:r>
    </w:p>
    <w:p w:rsidR="00367E63" w:rsidRPr="001870AE" w:rsidRDefault="00367E63" w:rsidP="00440E07">
      <w:pPr>
        <w:spacing w:after="0" w:line="264" w:lineRule="auto"/>
        <w:jc w:val="center"/>
        <w:rPr>
          <w:rFonts w:ascii="Arial" w:hAnsi="Arial" w:cs="Arial"/>
          <w:b/>
          <w:bCs/>
          <w:szCs w:val="24"/>
        </w:rPr>
      </w:pPr>
    </w:p>
    <w:p w:rsidR="00673E8C" w:rsidRPr="001870AE" w:rsidRDefault="00673E8C" w:rsidP="00440E07">
      <w:pPr>
        <w:spacing w:after="0" w:line="264" w:lineRule="auto"/>
        <w:jc w:val="center"/>
        <w:rPr>
          <w:rFonts w:ascii="Arial" w:hAnsi="Arial" w:cs="Arial"/>
          <w:b/>
          <w:bCs/>
          <w:szCs w:val="24"/>
        </w:rPr>
      </w:pPr>
      <w:r w:rsidRPr="001870AE">
        <w:rPr>
          <w:rFonts w:ascii="Arial" w:hAnsi="Arial" w:cs="Arial"/>
          <w:b/>
          <w:bCs/>
          <w:szCs w:val="24"/>
        </w:rPr>
        <w:t>DECRETA:</w:t>
      </w:r>
    </w:p>
    <w:p w:rsidR="00367E63" w:rsidRPr="001870AE" w:rsidRDefault="00367E63" w:rsidP="00440E07">
      <w:pPr>
        <w:spacing w:after="0" w:line="264" w:lineRule="auto"/>
        <w:rPr>
          <w:rFonts w:ascii="Arial" w:hAnsi="Arial" w:cs="Arial"/>
          <w:bCs/>
          <w:szCs w:val="24"/>
        </w:rPr>
      </w:pPr>
    </w:p>
    <w:p w:rsidR="007C6441" w:rsidRPr="00541E85" w:rsidRDefault="007C6441" w:rsidP="00440E07">
      <w:pPr>
        <w:spacing w:after="0"/>
        <w:jc w:val="both"/>
        <w:rPr>
          <w:rFonts w:ascii="Arial" w:hAnsi="Arial" w:cs="Arial"/>
          <w:szCs w:val="24"/>
        </w:rPr>
      </w:pPr>
      <w:r w:rsidRPr="00541E85">
        <w:rPr>
          <w:rFonts w:ascii="Arial" w:hAnsi="Arial" w:cs="Arial"/>
          <w:szCs w:val="24"/>
        </w:rPr>
        <w:t xml:space="preserve">Artículo 1°. Objeto. </w:t>
      </w:r>
      <w:r w:rsidR="00440E07" w:rsidRPr="00541E85">
        <w:rPr>
          <w:rFonts w:ascii="Arial" w:hAnsi="Arial" w:cs="Arial"/>
          <w:szCs w:val="24"/>
        </w:rPr>
        <w:t>La presente ley tiene por objeto</w:t>
      </w:r>
      <w:r w:rsidR="00440E07" w:rsidRPr="00541E85">
        <w:rPr>
          <w:rFonts w:ascii="Arial" w:hAnsi="Arial" w:cs="Arial"/>
          <w:color w:val="000000" w:themeColor="text1"/>
          <w:szCs w:val="24"/>
        </w:rPr>
        <w:t xml:space="preserve"> incluir como deber funcional, el fenecimiento de las cuentas, por parte de los representantes legales, directores administrativos u ordenadores del gasto</w:t>
      </w:r>
      <w:r w:rsidR="00440E07" w:rsidRPr="00541E85">
        <w:rPr>
          <w:rFonts w:ascii="Arial" w:hAnsi="Arial" w:cs="Arial"/>
          <w:szCs w:val="24"/>
        </w:rPr>
        <w:t xml:space="preserve"> de las entidades estatales, empresas, fondos y patrimonios autónomos del Estado, así como los contra</w:t>
      </w:r>
      <w:r w:rsidR="009801E8" w:rsidRPr="00541E85">
        <w:rPr>
          <w:rFonts w:ascii="Arial" w:hAnsi="Arial" w:cs="Arial"/>
          <w:szCs w:val="24"/>
        </w:rPr>
        <w:t>lores para el caso de los bancos e</w:t>
      </w:r>
      <w:r w:rsidR="00440E07" w:rsidRPr="00541E85">
        <w:rPr>
          <w:rFonts w:ascii="Arial" w:hAnsi="Arial" w:cs="Arial"/>
          <w:szCs w:val="24"/>
        </w:rPr>
        <w:t>statales.</w:t>
      </w:r>
      <w:r w:rsidRPr="00541E85">
        <w:rPr>
          <w:rFonts w:ascii="Arial" w:hAnsi="Arial" w:cs="Arial"/>
          <w:color w:val="000000" w:themeColor="text1"/>
          <w:szCs w:val="24"/>
        </w:rPr>
        <w:t xml:space="preserve"> </w:t>
      </w:r>
    </w:p>
    <w:p w:rsidR="00367E63" w:rsidRPr="00541E85" w:rsidRDefault="00367E63" w:rsidP="00440E07">
      <w:pPr>
        <w:spacing w:after="0" w:line="264" w:lineRule="auto"/>
        <w:jc w:val="both"/>
        <w:rPr>
          <w:rFonts w:ascii="Arial" w:hAnsi="Arial" w:cs="Arial"/>
          <w:color w:val="FF0000"/>
          <w:szCs w:val="24"/>
        </w:rPr>
      </w:pPr>
    </w:p>
    <w:p w:rsidR="007C6441" w:rsidRPr="00541E85" w:rsidRDefault="007C6441" w:rsidP="00440E07">
      <w:pPr>
        <w:spacing w:after="0"/>
        <w:jc w:val="both"/>
        <w:rPr>
          <w:rFonts w:ascii="Arial" w:hAnsi="Arial" w:cs="Arial"/>
          <w:szCs w:val="24"/>
        </w:rPr>
      </w:pPr>
      <w:r w:rsidRPr="00541E85">
        <w:rPr>
          <w:rFonts w:ascii="Arial" w:hAnsi="Arial" w:cs="Arial"/>
          <w:szCs w:val="24"/>
        </w:rPr>
        <w:t xml:space="preserve">Artículo 2°. Adiciónese el numeral 44 al artículo 38 de la Ley 1952 de 2019, el cual quedarán así: </w:t>
      </w:r>
    </w:p>
    <w:p w:rsidR="00440E07" w:rsidRPr="00541E85" w:rsidRDefault="00440E07" w:rsidP="00440E07">
      <w:pPr>
        <w:spacing w:after="0"/>
        <w:jc w:val="both"/>
        <w:rPr>
          <w:rFonts w:ascii="Arial" w:hAnsi="Arial" w:cs="Arial"/>
          <w:szCs w:val="24"/>
        </w:rPr>
      </w:pPr>
    </w:p>
    <w:p w:rsidR="009801E8" w:rsidRPr="00541E85" w:rsidRDefault="007C6441" w:rsidP="009801E8">
      <w:pPr>
        <w:pStyle w:val="Prrafodelista"/>
        <w:spacing w:after="0" w:line="264" w:lineRule="auto"/>
        <w:ind w:left="0"/>
        <w:jc w:val="both"/>
        <w:rPr>
          <w:rFonts w:ascii="Arial" w:hAnsi="Arial" w:cs="Arial"/>
          <w:color w:val="000000" w:themeColor="text1"/>
          <w:szCs w:val="24"/>
        </w:rPr>
      </w:pPr>
      <w:r w:rsidRPr="00541E85">
        <w:rPr>
          <w:rFonts w:ascii="Arial" w:hAnsi="Arial" w:cs="Arial"/>
          <w:szCs w:val="24"/>
        </w:rPr>
        <w:t xml:space="preserve">44. </w:t>
      </w:r>
      <w:r w:rsidR="009801E8" w:rsidRPr="00541E85">
        <w:rPr>
          <w:rFonts w:ascii="Arial" w:hAnsi="Arial" w:cs="Arial"/>
          <w:szCs w:val="24"/>
        </w:rPr>
        <w:t xml:space="preserve">Fenecer la cuenta fiscal individual de las entidades estatales, empresas, fondos y patrimonios autónomos del Estado </w:t>
      </w:r>
      <w:r w:rsidR="009801E8" w:rsidRPr="00541E85">
        <w:rPr>
          <w:rFonts w:ascii="Arial" w:hAnsi="Arial" w:cs="Arial"/>
          <w:color w:val="000000" w:themeColor="text1"/>
          <w:szCs w:val="24"/>
        </w:rPr>
        <w:t>en la correspondiente vigencia fiscal</w:t>
      </w:r>
    </w:p>
    <w:p w:rsidR="009801E8" w:rsidRPr="00541E85" w:rsidRDefault="009801E8" w:rsidP="009801E8">
      <w:pPr>
        <w:pStyle w:val="Prrafodelista"/>
        <w:spacing w:after="0" w:line="264" w:lineRule="auto"/>
        <w:ind w:left="0"/>
        <w:jc w:val="both"/>
        <w:rPr>
          <w:rFonts w:ascii="Arial" w:hAnsi="Arial" w:cs="Arial"/>
          <w:color w:val="000000" w:themeColor="text1"/>
          <w:szCs w:val="24"/>
        </w:rPr>
      </w:pPr>
    </w:p>
    <w:p w:rsidR="009801E8" w:rsidRPr="00541E85" w:rsidRDefault="009801E8" w:rsidP="009801E8">
      <w:pPr>
        <w:spacing w:after="0"/>
        <w:jc w:val="both"/>
        <w:rPr>
          <w:rFonts w:ascii="Arial" w:hAnsi="Arial" w:cs="Arial"/>
          <w:strike/>
          <w:szCs w:val="24"/>
        </w:rPr>
      </w:pPr>
      <w:r w:rsidRPr="00541E85">
        <w:rPr>
          <w:rFonts w:ascii="Arial" w:hAnsi="Arial" w:cs="Arial"/>
          <w:szCs w:val="24"/>
        </w:rPr>
        <w:t xml:space="preserve">Parágrafo: En los términos del numeral 44 del presente artículo, serán objeto de investigación disciplinaria </w:t>
      </w:r>
      <w:r w:rsidRPr="00541E85">
        <w:rPr>
          <w:rFonts w:ascii="Arial" w:hAnsi="Arial" w:cs="Arial"/>
          <w:color w:val="000000" w:themeColor="text1"/>
          <w:szCs w:val="24"/>
        </w:rPr>
        <w:t xml:space="preserve">los representantes legales u ordenadores del gasto, directores administrativos, </w:t>
      </w:r>
      <w:r w:rsidRPr="00541E85">
        <w:rPr>
          <w:rFonts w:ascii="Arial" w:hAnsi="Arial" w:cs="Arial"/>
          <w:szCs w:val="24"/>
        </w:rPr>
        <w:t>contralores para el caso de los bancos estatales</w:t>
      </w:r>
      <w:r w:rsidRPr="00541E85">
        <w:rPr>
          <w:rFonts w:ascii="Arial" w:hAnsi="Arial" w:cs="Arial"/>
          <w:color w:val="000000" w:themeColor="text1"/>
          <w:szCs w:val="24"/>
        </w:rPr>
        <w:t xml:space="preserve"> </w:t>
      </w:r>
      <w:r w:rsidRPr="00541E85">
        <w:rPr>
          <w:rFonts w:ascii="Arial" w:hAnsi="Arial" w:cs="Arial"/>
          <w:szCs w:val="24"/>
        </w:rPr>
        <w:t>o quien haga sus veces, que en el ejercicio de sus funciones se compruebe el mayor grado de inobservancia, descuido o desatención elemental</w:t>
      </w:r>
      <w:r w:rsidRPr="00541E85">
        <w:rPr>
          <w:rFonts w:ascii="Arial" w:hAnsi="Arial" w:cs="Arial"/>
          <w:i/>
          <w:szCs w:val="24"/>
        </w:rPr>
        <w:t xml:space="preserve"> </w:t>
      </w:r>
      <w:r w:rsidRPr="00541E85">
        <w:rPr>
          <w:rFonts w:ascii="Arial" w:hAnsi="Arial" w:cs="Arial"/>
          <w:szCs w:val="24"/>
        </w:rPr>
        <w:t>al deber de fenecimiento de las cuentas fiscales, así no se encuentren ocupando el cargo, siempre y cuando se genere durante las dos (2) últimas vigencias fiscales consecutivas, la negación o abstención de opinión de los estados financieros y de la ejecución presupuestal  por parte de la Contraloría General de la Republica en el ejercicio del control fiscal.</w:t>
      </w:r>
    </w:p>
    <w:p w:rsidR="009801E8" w:rsidRPr="00541E85" w:rsidRDefault="009801E8" w:rsidP="009801E8">
      <w:pPr>
        <w:pStyle w:val="Prrafodelista"/>
        <w:spacing w:after="0" w:line="264" w:lineRule="auto"/>
        <w:ind w:left="0"/>
        <w:jc w:val="both"/>
        <w:rPr>
          <w:rFonts w:ascii="Arial" w:hAnsi="Arial" w:cs="Arial"/>
          <w:szCs w:val="24"/>
        </w:rPr>
      </w:pPr>
    </w:p>
    <w:p w:rsidR="009801E8" w:rsidRPr="00541E85" w:rsidRDefault="009801E8" w:rsidP="009801E8">
      <w:pPr>
        <w:spacing w:after="0"/>
        <w:jc w:val="both"/>
        <w:rPr>
          <w:rFonts w:ascii="Arial" w:hAnsi="Arial" w:cs="Arial"/>
          <w:color w:val="002060"/>
          <w:szCs w:val="24"/>
        </w:rPr>
      </w:pPr>
      <w:r w:rsidRPr="00541E85">
        <w:rPr>
          <w:rFonts w:ascii="Arial" w:hAnsi="Arial" w:cs="Arial"/>
          <w:szCs w:val="24"/>
        </w:rPr>
        <w:t xml:space="preserve">El no fenecimiento individual de las cuentas puede ser considerado un elemento adicional para el no fenecimiento de la cuenta general del presupuesto y del tesoro por parte de la Cámara de Representantes. </w:t>
      </w:r>
    </w:p>
    <w:p w:rsidR="00146947" w:rsidRPr="001870AE" w:rsidRDefault="00146947" w:rsidP="009801E8">
      <w:pPr>
        <w:pStyle w:val="Prrafodelista"/>
        <w:spacing w:after="0" w:line="264" w:lineRule="auto"/>
        <w:ind w:left="0"/>
        <w:jc w:val="both"/>
        <w:rPr>
          <w:rFonts w:ascii="Arial" w:hAnsi="Arial" w:cs="Arial"/>
          <w:strike/>
          <w:szCs w:val="24"/>
        </w:rPr>
      </w:pPr>
    </w:p>
    <w:p w:rsidR="00367E63" w:rsidRPr="001870AE" w:rsidRDefault="00673E8C" w:rsidP="009801E8">
      <w:pPr>
        <w:spacing w:after="0"/>
        <w:jc w:val="both"/>
        <w:rPr>
          <w:rFonts w:ascii="Arial" w:hAnsi="Arial" w:cs="Arial"/>
          <w:szCs w:val="24"/>
        </w:rPr>
      </w:pPr>
      <w:r w:rsidRPr="001870AE">
        <w:rPr>
          <w:rFonts w:ascii="Arial" w:hAnsi="Arial" w:cs="Arial"/>
          <w:b/>
          <w:szCs w:val="24"/>
        </w:rPr>
        <w:t>Artículo 3°.</w:t>
      </w:r>
      <w:r w:rsidRPr="001870AE">
        <w:rPr>
          <w:rFonts w:ascii="Arial" w:hAnsi="Arial" w:cs="Arial"/>
          <w:szCs w:val="24"/>
        </w:rPr>
        <w:t xml:space="preserve"> Vigencia.  La presente ley entrará en vigencia a partir del 1° de julio de 2021.</w:t>
      </w:r>
    </w:p>
    <w:p w:rsidR="007A59AD" w:rsidRPr="001870AE" w:rsidRDefault="007A59AD" w:rsidP="009801E8">
      <w:pPr>
        <w:spacing w:after="0"/>
        <w:jc w:val="both"/>
        <w:rPr>
          <w:rFonts w:ascii="Arial" w:hAnsi="Arial" w:cs="Arial"/>
          <w:szCs w:val="24"/>
        </w:rPr>
      </w:pPr>
    </w:p>
    <w:p w:rsidR="00B73877" w:rsidRPr="00286C4C" w:rsidRDefault="00B73877" w:rsidP="00511028">
      <w:pPr>
        <w:spacing w:after="0"/>
        <w:rPr>
          <w:noProof/>
          <w:sz w:val="20"/>
          <w:lang w:val="es-ES"/>
        </w:rPr>
      </w:pPr>
    </w:p>
    <w:p w:rsidR="00B73877" w:rsidRPr="00286C4C" w:rsidRDefault="00B73877" w:rsidP="00511028">
      <w:pPr>
        <w:spacing w:after="0"/>
        <w:rPr>
          <w:noProof/>
          <w:sz w:val="20"/>
          <w:lang w:val="es-ES"/>
        </w:rPr>
      </w:pPr>
    </w:p>
    <w:p w:rsidR="00146947" w:rsidRPr="001870AE" w:rsidRDefault="00146947" w:rsidP="00511028">
      <w:pPr>
        <w:spacing w:after="0"/>
        <w:rPr>
          <w:rFonts w:ascii="Arial" w:hAnsi="Arial" w:cs="Arial"/>
          <w:b/>
          <w:szCs w:val="24"/>
        </w:rPr>
      </w:pPr>
    </w:p>
    <w:p w:rsidR="001870AE" w:rsidRDefault="001870AE" w:rsidP="00511028">
      <w:pPr>
        <w:spacing w:after="0"/>
        <w:rPr>
          <w:rFonts w:ascii="Arial" w:hAnsi="Arial" w:cs="Arial"/>
          <w:b/>
          <w:szCs w:val="24"/>
        </w:rPr>
      </w:pPr>
    </w:p>
    <w:p w:rsidR="001870AE" w:rsidRDefault="001870AE" w:rsidP="00511028">
      <w:pPr>
        <w:spacing w:after="0"/>
        <w:rPr>
          <w:rFonts w:ascii="Arial" w:hAnsi="Arial" w:cs="Arial"/>
          <w:b/>
          <w:szCs w:val="24"/>
        </w:rPr>
      </w:pPr>
    </w:p>
    <w:p w:rsidR="001870AE" w:rsidRDefault="001870AE" w:rsidP="00511028">
      <w:pPr>
        <w:spacing w:after="0"/>
        <w:rPr>
          <w:rFonts w:ascii="Arial" w:hAnsi="Arial" w:cs="Arial"/>
          <w:b/>
          <w:szCs w:val="24"/>
        </w:rPr>
      </w:pPr>
    </w:p>
    <w:p w:rsidR="00673E8C" w:rsidRPr="001870AE" w:rsidRDefault="00673E8C" w:rsidP="00511028">
      <w:pPr>
        <w:spacing w:after="0"/>
        <w:rPr>
          <w:rFonts w:ascii="Arial" w:hAnsi="Arial" w:cs="Arial"/>
          <w:szCs w:val="24"/>
        </w:rPr>
      </w:pPr>
      <w:r w:rsidRPr="001870AE">
        <w:rPr>
          <w:rFonts w:ascii="Arial" w:hAnsi="Arial" w:cs="Arial"/>
          <w:b/>
          <w:szCs w:val="24"/>
        </w:rPr>
        <w:t xml:space="preserve">OSCAR SANCHEZ LEÓN </w:t>
      </w:r>
      <w:r w:rsidRPr="001870AE">
        <w:rPr>
          <w:rFonts w:ascii="Arial" w:hAnsi="Arial" w:cs="Arial"/>
          <w:b/>
          <w:szCs w:val="24"/>
        </w:rPr>
        <w:br/>
      </w:r>
      <w:r w:rsidRPr="001870AE">
        <w:rPr>
          <w:rFonts w:ascii="Arial" w:hAnsi="Arial" w:cs="Arial"/>
          <w:szCs w:val="24"/>
        </w:rPr>
        <w:t>Representante a la Cámara</w:t>
      </w:r>
      <w:r w:rsidRPr="001870AE">
        <w:rPr>
          <w:rFonts w:ascii="Arial" w:hAnsi="Arial" w:cs="Arial"/>
          <w:b/>
          <w:szCs w:val="24"/>
        </w:rPr>
        <w:t xml:space="preserve">   </w:t>
      </w:r>
    </w:p>
    <w:sectPr w:rsidR="00673E8C" w:rsidRPr="001870A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F0" w:rsidRDefault="003101F0" w:rsidP="00AB5C64">
      <w:pPr>
        <w:spacing w:after="0" w:line="240" w:lineRule="auto"/>
      </w:pPr>
      <w:r>
        <w:separator/>
      </w:r>
    </w:p>
  </w:endnote>
  <w:endnote w:type="continuationSeparator" w:id="0">
    <w:p w:rsidR="003101F0" w:rsidRDefault="003101F0"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F0" w:rsidRDefault="003101F0" w:rsidP="00AB5C64">
      <w:pPr>
        <w:spacing w:after="0" w:line="240" w:lineRule="auto"/>
      </w:pPr>
      <w:r>
        <w:separator/>
      </w:r>
    </w:p>
  </w:footnote>
  <w:footnote w:type="continuationSeparator" w:id="0">
    <w:p w:rsidR="003101F0" w:rsidRDefault="003101F0" w:rsidP="00AB5C64">
      <w:pPr>
        <w:spacing w:after="0" w:line="240" w:lineRule="auto"/>
      </w:pPr>
      <w:r>
        <w:continuationSeparator/>
      </w:r>
    </w:p>
  </w:footnote>
  <w:footnote w:id="1">
    <w:p w:rsidR="001050B1" w:rsidRDefault="001050B1">
      <w:pPr>
        <w:pStyle w:val="Textonotapie"/>
      </w:pPr>
      <w:r>
        <w:rPr>
          <w:rStyle w:val="Refdenotaalpie"/>
        </w:rPr>
        <w:footnoteRef/>
      </w:r>
      <w:r>
        <w:t xml:space="preserve"> Procuraduría General de la Nación</w:t>
      </w:r>
      <w:r w:rsidRPr="00BB14D3">
        <w:t>,</w:t>
      </w:r>
      <w:r>
        <w:t xml:space="preserve"> Lecciones de Derecho Disciplinario Volumen I</w:t>
      </w:r>
      <w:r w:rsidR="00B003CA">
        <w:t>,</w:t>
      </w:r>
      <w:r>
        <w:t xml:space="preserve"> (2006</w:t>
      </w:r>
      <w:r w:rsidRPr="00BB14D3">
        <w:t>). Recuperado de</w:t>
      </w:r>
      <w:r>
        <w:t xml:space="preserve"> </w:t>
      </w:r>
      <w:hyperlink r:id="rId1" w:history="1">
        <w:r w:rsidR="00B003CA">
          <w:rPr>
            <w:rStyle w:val="Hipervnculo"/>
          </w:rPr>
          <w:t>https://www.procuraduria.gov.co/portal/media/file/Lecciones1.pdf</w:t>
        </w:r>
      </w:hyperlink>
      <w:r w:rsidR="00B003CA">
        <w:t xml:space="preserve"> </w:t>
      </w:r>
    </w:p>
  </w:footnote>
  <w:footnote w:id="2">
    <w:p w:rsidR="00DF2C15" w:rsidRDefault="00DF2C15" w:rsidP="00DF2C15">
      <w:pPr>
        <w:pStyle w:val="Textonotapie"/>
        <w:jc w:val="both"/>
      </w:pPr>
      <w:r>
        <w:rPr>
          <w:rStyle w:val="Refdenotaalpie"/>
        </w:rPr>
        <w:footnoteRef/>
      </w:r>
      <w:r>
        <w:t xml:space="preserve"> </w:t>
      </w:r>
      <w:r w:rsidRPr="00DF2C15">
        <w:rPr>
          <w:i/>
        </w:rPr>
        <w:t>Corte Constitucional</w:t>
      </w:r>
      <w:r>
        <w:t>, Sentencia C-836 del 20 de noviembre de 20</w:t>
      </w:r>
      <w:r w:rsidRPr="00DF2C15">
        <w:t>13</w:t>
      </w:r>
      <w:r>
        <w:t xml:space="preserve">, M.P. </w:t>
      </w:r>
      <w:r w:rsidRPr="00DF2C15">
        <w:t>Gabriel Eduardo Mendoza Martelo</w:t>
      </w:r>
      <w:r>
        <w:t xml:space="preserve">  </w:t>
      </w:r>
    </w:p>
  </w:footnote>
  <w:footnote w:id="3">
    <w:p w:rsidR="00F614ED" w:rsidRDefault="00F614ED">
      <w:pPr>
        <w:pStyle w:val="Textonotapie"/>
      </w:pPr>
      <w:r>
        <w:rPr>
          <w:rStyle w:val="Refdenotaalpie"/>
        </w:rPr>
        <w:footnoteRef/>
      </w:r>
      <w:r>
        <w:t xml:space="preserve"> Contraloría General de la Republica, Auditoria del Balance General de la Nación, (2018). Recuperado de: </w:t>
      </w:r>
      <w:hyperlink r:id="rId2" w:history="1">
        <w:r w:rsidR="00BB14D3" w:rsidRPr="00556356">
          <w:rPr>
            <w:rStyle w:val="Hipervnculo"/>
          </w:rPr>
          <w:t>https://www.contraloria.gov.co/documents/20181/1565284/Resumen_Auditoria_Balance_General.pdf/0ebd8032-7fca-4151-8365-35ea5bb38f22</w:t>
        </w:r>
      </w:hyperlink>
      <w:r w:rsidR="00BB14D3">
        <w:t xml:space="preserve">. </w:t>
      </w:r>
    </w:p>
  </w:footnote>
  <w:footnote w:id="4">
    <w:p w:rsidR="00BB14D3" w:rsidRDefault="00BB14D3">
      <w:pPr>
        <w:pStyle w:val="Textonotapie"/>
      </w:pPr>
      <w:r>
        <w:rPr>
          <w:rStyle w:val="Refdenotaalpie"/>
        </w:rPr>
        <w:footnoteRef/>
      </w:r>
      <w:r>
        <w:t xml:space="preserve"> </w:t>
      </w:r>
      <w:r w:rsidRPr="00BB14D3">
        <w:t xml:space="preserve">Contraloría General de la Republica, Auditoria del Balance General de la Nación, (2018). Recuperado de: </w:t>
      </w:r>
      <w:hyperlink r:id="rId3" w:history="1">
        <w:r w:rsidRPr="00556356">
          <w:rPr>
            <w:rStyle w:val="Hipervnculo"/>
          </w:rPr>
          <w:t>https://www.contraloria.gov.co/documents/20181/1565284/Resumen_Auditoria_Balance_General.pdf/0ebd8032-7fca-4151-8365-35ea5bb38f22</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ED" w:rsidRDefault="00A134ED" w:rsidP="00A134ED">
    <w:pPr>
      <w:pStyle w:val="Encabezado"/>
      <w:jc w:val="center"/>
    </w:pPr>
    <w:r>
      <w:rPr>
        <w:noProof/>
        <w:lang w:eastAsia="es-CO"/>
      </w:rPr>
      <w:drawing>
        <wp:inline distT="0" distB="0" distL="0" distR="0" wp14:anchorId="3103A17B">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rsidR="00A07B80" w:rsidRDefault="00A07B80" w:rsidP="00A134E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6D17ED"/>
    <w:multiLevelType w:val="hybridMultilevel"/>
    <w:tmpl w:val="1E2CF4E2"/>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01C65"/>
    <w:rsid w:val="0002170B"/>
    <w:rsid w:val="00040906"/>
    <w:rsid w:val="000516A5"/>
    <w:rsid w:val="000A33AB"/>
    <w:rsid w:val="000B3A68"/>
    <w:rsid w:val="000F1CAB"/>
    <w:rsid w:val="000F59E6"/>
    <w:rsid w:val="000F69C0"/>
    <w:rsid w:val="001050B1"/>
    <w:rsid w:val="00122273"/>
    <w:rsid w:val="001371D5"/>
    <w:rsid w:val="001445D4"/>
    <w:rsid w:val="00146947"/>
    <w:rsid w:val="00162CBE"/>
    <w:rsid w:val="001870AE"/>
    <w:rsid w:val="001F1827"/>
    <w:rsid w:val="001F4A2E"/>
    <w:rsid w:val="001F7656"/>
    <w:rsid w:val="00202FE4"/>
    <w:rsid w:val="00212F9B"/>
    <w:rsid w:val="002201E0"/>
    <w:rsid w:val="00233D75"/>
    <w:rsid w:val="002514A7"/>
    <w:rsid w:val="00286C4C"/>
    <w:rsid w:val="00294659"/>
    <w:rsid w:val="00297AD1"/>
    <w:rsid w:val="002B7CED"/>
    <w:rsid w:val="002C2E66"/>
    <w:rsid w:val="002F29CC"/>
    <w:rsid w:val="002F3943"/>
    <w:rsid w:val="00302353"/>
    <w:rsid w:val="003101F0"/>
    <w:rsid w:val="00312E87"/>
    <w:rsid w:val="0032557A"/>
    <w:rsid w:val="00326A29"/>
    <w:rsid w:val="00327A68"/>
    <w:rsid w:val="00334F98"/>
    <w:rsid w:val="0035375D"/>
    <w:rsid w:val="00367E63"/>
    <w:rsid w:val="00370777"/>
    <w:rsid w:val="003729AC"/>
    <w:rsid w:val="003B26C6"/>
    <w:rsid w:val="003D61E2"/>
    <w:rsid w:val="003F633F"/>
    <w:rsid w:val="003F7BEC"/>
    <w:rsid w:val="00407985"/>
    <w:rsid w:val="00433020"/>
    <w:rsid w:val="00440E07"/>
    <w:rsid w:val="00467627"/>
    <w:rsid w:val="004901DE"/>
    <w:rsid w:val="00492152"/>
    <w:rsid w:val="00494BF7"/>
    <w:rsid w:val="004A10A8"/>
    <w:rsid w:val="004A2A3A"/>
    <w:rsid w:val="004D30C4"/>
    <w:rsid w:val="00501BE5"/>
    <w:rsid w:val="00511028"/>
    <w:rsid w:val="00517298"/>
    <w:rsid w:val="00525A93"/>
    <w:rsid w:val="00541E85"/>
    <w:rsid w:val="00547E5D"/>
    <w:rsid w:val="0055678E"/>
    <w:rsid w:val="005638CA"/>
    <w:rsid w:val="00577111"/>
    <w:rsid w:val="00586BE5"/>
    <w:rsid w:val="0059477B"/>
    <w:rsid w:val="005B2375"/>
    <w:rsid w:val="005C54D9"/>
    <w:rsid w:val="005D1744"/>
    <w:rsid w:val="005D5F86"/>
    <w:rsid w:val="005E3A35"/>
    <w:rsid w:val="00604CDE"/>
    <w:rsid w:val="00607F6A"/>
    <w:rsid w:val="006314CE"/>
    <w:rsid w:val="00645225"/>
    <w:rsid w:val="00673E8C"/>
    <w:rsid w:val="006754E1"/>
    <w:rsid w:val="00683074"/>
    <w:rsid w:val="006875B2"/>
    <w:rsid w:val="006B404E"/>
    <w:rsid w:val="006C6DF1"/>
    <w:rsid w:val="006D13D1"/>
    <w:rsid w:val="006D4187"/>
    <w:rsid w:val="006D42B8"/>
    <w:rsid w:val="006E45FC"/>
    <w:rsid w:val="006E7E55"/>
    <w:rsid w:val="007011D2"/>
    <w:rsid w:val="00701D16"/>
    <w:rsid w:val="00710FF7"/>
    <w:rsid w:val="00716A6D"/>
    <w:rsid w:val="0073584E"/>
    <w:rsid w:val="0073671F"/>
    <w:rsid w:val="00763B37"/>
    <w:rsid w:val="00781BFD"/>
    <w:rsid w:val="007A59AD"/>
    <w:rsid w:val="007B2B38"/>
    <w:rsid w:val="007B67BE"/>
    <w:rsid w:val="007B6999"/>
    <w:rsid w:val="007C24EB"/>
    <w:rsid w:val="007C6441"/>
    <w:rsid w:val="007C738C"/>
    <w:rsid w:val="00814432"/>
    <w:rsid w:val="00820153"/>
    <w:rsid w:val="008239B0"/>
    <w:rsid w:val="008259E9"/>
    <w:rsid w:val="00837D01"/>
    <w:rsid w:val="008615A3"/>
    <w:rsid w:val="00864004"/>
    <w:rsid w:val="00866566"/>
    <w:rsid w:val="008834C7"/>
    <w:rsid w:val="00895485"/>
    <w:rsid w:val="008968DB"/>
    <w:rsid w:val="008A4EA9"/>
    <w:rsid w:val="008D426B"/>
    <w:rsid w:val="008E2D48"/>
    <w:rsid w:val="008E7F6D"/>
    <w:rsid w:val="008F29AF"/>
    <w:rsid w:val="008F330F"/>
    <w:rsid w:val="008F352E"/>
    <w:rsid w:val="00900042"/>
    <w:rsid w:val="009000C7"/>
    <w:rsid w:val="00925B03"/>
    <w:rsid w:val="0093086C"/>
    <w:rsid w:val="009433B8"/>
    <w:rsid w:val="009540C6"/>
    <w:rsid w:val="00955FC1"/>
    <w:rsid w:val="00976F45"/>
    <w:rsid w:val="009801E8"/>
    <w:rsid w:val="0098309C"/>
    <w:rsid w:val="00991C91"/>
    <w:rsid w:val="009A409B"/>
    <w:rsid w:val="009B04B4"/>
    <w:rsid w:val="009B56A6"/>
    <w:rsid w:val="009D733B"/>
    <w:rsid w:val="009E0E5C"/>
    <w:rsid w:val="009E113D"/>
    <w:rsid w:val="009E6101"/>
    <w:rsid w:val="009F12A6"/>
    <w:rsid w:val="009F2EDE"/>
    <w:rsid w:val="009F33E1"/>
    <w:rsid w:val="00A01208"/>
    <w:rsid w:val="00A07B80"/>
    <w:rsid w:val="00A130A9"/>
    <w:rsid w:val="00A134ED"/>
    <w:rsid w:val="00A246AD"/>
    <w:rsid w:val="00A24A3F"/>
    <w:rsid w:val="00A3655E"/>
    <w:rsid w:val="00A53E51"/>
    <w:rsid w:val="00A70A12"/>
    <w:rsid w:val="00A87278"/>
    <w:rsid w:val="00AB5C64"/>
    <w:rsid w:val="00AC72C3"/>
    <w:rsid w:val="00AD46C5"/>
    <w:rsid w:val="00AF7CC2"/>
    <w:rsid w:val="00B003CA"/>
    <w:rsid w:val="00B01673"/>
    <w:rsid w:val="00B033EF"/>
    <w:rsid w:val="00B05D40"/>
    <w:rsid w:val="00B12ACC"/>
    <w:rsid w:val="00B14958"/>
    <w:rsid w:val="00B360BA"/>
    <w:rsid w:val="00B62F47"/>
    <w:rsid w:val="00B70F92"/>
    <w:rsid w:val="00B73877"/>
    <w:rsid w:val="00B73B2B"/>
    <w:rsid w:val="00B74C51"/>
    <w:rsid w:val="00B77E15"/>
    <w:rsid w:val="00BA733B"/>
    <w:rsid w:val="00BB09EB"/>
    <w:rsid w:val="00BB14D3"/>
    <w:rsid w:val="00BB328A"/>
    <w:rsid w:val="00BB5A61"/>
    <w:rsid w:val="00BD1361"/>
    <w:rsid w:val="00BD3176"/>
    <w:rsid w:val="00BD4293"/>
    <w:rsid w:val="00BE3FFA"/>
    <w:rsid w:val="00BE56CE"/>
    <w:rsid w:val="00BE7E69"/>
    <w:rsid w:val="00C14FB3"/>
    <w:rsid w:val="00C25C96"/>
    <w:rsid w:val="00C520A5"/>
    <w:rsid w:val="00C5327C"/>
    <w:rsid w:val="00C671D6"/>
    <w:rsid w:val="00C71F9B"/>
    <w:rsid w:val="00C93C4A"/>
    <w:rsid w:val="00CA1792"/>
    <w:rsid w:val="00CD7939"/>
    <w:rsid w:val="00CF7BDB"/>
    <w:rsid w:val="00D206C4"/>
    <w:rsid w:val="00D2329C"/>
    <w:rsid w:val="00D311B1"/>
    <w:rsid w:val="00D56B70"/>
    <w:rsid w:val="00D663E2"/>
    <w:rsid w:val="00D72A63"/>
    <w:rsid w:val="00D760CB"/>
    <w:rsid w:val="00D8615D"/>
    <w:rsid w:val="00DA4EEA"/>
    <w:rsid w:val="00DA5A1A"/>
    <w:rsid w:val="00DB2EA8"/>
    <w:rsid w:val="00DB4854"/>
    <w:rsid w:val="00DF2C15"/>
    <w:rsid w:val="00DF2DF0"/>
    <w:rsid w:val="00DF6B6D"/>
    <w:rsid w:val="00E10586"/>
    <w:rsid w:val="00E3581C"/>
    <w:rsid w:val="00E51931"/>
    <w:rsid w:val="00E52094"/>
    <w:rsid w:val="00E7147A"/>
    <w:rsid w:val="00E9017C"/>
    <w:rsid w:val="00EB73FC"/>
    <w:rsid w:val="00EC29C1"/>
    <w:rsid w:val="00EE5FB9"/>
    <w:rsid w:val="00EF33B5"/>
    <w:rsid w:val="00F14977"/>
    <w:rsid w:val="00F224E2"/>
    <w:rsid w:val="00F23218"/>
    <w:rsid w:val="00F23F51"/>
    <w:rsid w:val="00F360C3"/>
    <w:rsid w:val="00F40313"/>
    <w:rsid w:val="00F614ED"/>
    <w:rsid w:val="00F67E74"/>
    <w:rsid w:val="00FA10EA"/>
    <w:rsid w:val="00FD1E88"/>
    <w:rsid w:val="00FE24AA"/>
    <w:rsid w:val="00FE3150"/>
    <w:rsid w:val="00FE5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E8"/>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0720">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26724928">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documents/20181/1565284/Resumen_Auditoria_Balance_General.pdf/0ebd8032-7fca-4151-8365-35ea5bb38f22" TargetMode="External"/><Relationship Id="rId2" Type="http://schemas.openxmlformats.org/officeDocument/2006/relationships/hyperlink" Target="https://www.contraloria.gov.co/documents/20181/1565284/Resumen_Auditoria_Balance_General.pdf/0ebd8032-7fca-4151-8365-35ea5bb38f22" TargetMode="External"/><Relationship Id="rId1" Type="http://schemas.openxmlformats.org/officeDocument/2006/relationships/hyperlink" Target="https://www.procuraduria.gov.co/portal/media/file/Leccione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0367-7B81-4779-9EE0-21A23AF6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3809</Words>
  <Characters>20952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Javier</cp:lastModifiedBy>
  <cp:revision>2</cp:revision>
  <dcterms:created xsi:type="dcterms:W3CDTF">2020-08-13T19:27:00Z</dcterms:created>
  <dcterms:modified xsi:type="dcterms:W3CDTF">2020-08-13T19:27:00Z</dcterms:modified>
</cp:coreProperties>
</file>